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F8C55"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1E99B15C" w14:textId="77777777" w:rsidR="003715A2" w:rsidRDefault="003715A2" w:rsidP="003715A2">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0935E9D2" w14:textId="740AF182" w:rsidR="003715A2" w:rsidRDefault="003715A2" w:rsidP="003715A2">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w:t>
      </w:r>
      <w:r>
        <w:rPr>
          <w:rFonts w:ascii="楷体" w:eastAsia="楷体" w:hAnsi="楷体" w:cs="楷体" w:hint="eastAsia"/>
          <w:bCs/>
          <w:sz w:val="32"/>
          <w:szCs w:val="32"/>
        </w:rPr>
        <w:t>4年</w:t>
      </w:r>
      <w:r>
        <w:rPr>
          <w:rFonts w:ascii="方正小标宋简体" w:eastAsia="方正小标宋简体" w:hAnsi="宋体" w:hint="eastAsia"/>
          <w:b/>
          <w:sz w:val="52"/>
          <w:szCs w:val="52"/>
        </w:rPr>
        <w:t>）</w:t>
      </w:r>
    </w:p>
    <w:p w14:paraId="7457D721" w14:textId="77777777" w:rsidR="003715A2" w:rsidRDefault="003715A2" w:rsidP="003715A2">
      <w:pPr>
        <w:spacing w:afterLines="50" w:after="156" w:line="560" w:lineRule="exact"/>
        <w:jc w:val="center"/>
        <w:rPr>
          <w:rFonts w:ascii="方正小标宋简体" w:eastAsia="方正小标宋简体" w:hAnsi="宋体" w:hint="eastAsia"/>
          <w:b/>
          <w:sz w:val="44"/>
          <w:szCs w:val="44"/>
        </w:rPr>
      </w:pPr>
    </w:p>
    <w:p w14:paraId="68E515E1" w14:textId="77777777" w:rsidR="003715A2" w:rsidRDefault="003715A2" w:rsidP="003715A2">
      <w:pPr>
        <w:spacing w:afterLines="50" w:after="156" w:line="560" w:lineRule="exact"/>
        <w:jc w:val="center"/>
        <w:rPr>
          <w:rFonts w:ascii="方正小标宋简体" w:eastAsia="方正小标宋简体" w:hAnsi="宋体" w:hint="eastAsia"/>
          <w:b/>
          <w:sz w:val="44"/>
          <w:szCs w:val="44"/>
        </w:rPr>
      </w:pPr>
    </w:p>
    <w:p w14:paraId="3785538C" w14:textId="77777777" w:rsidR="003715A2" w:rsidRDefault="003715A2" w:rsidP="003715A2">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3715A2" w14:paraId="4670B1B5" w14:textId="77777777" w:rsidTr="005754EE">
        <w:tc>
          <w:tcPr>
            <w:tcW w:w="2160" w:type="dxa"/>
            <w:vMerge w:val="restart"/>
            <w:vAlign w:val="center"/>
          </w:tcPr>
          <w:p w14:paraId="10E2F08A" w14:textId="77777777" w:rsidR="003715A2" w:rsidRDefault="003715A2" w:rsidP="005754E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6D3286F7" w14:textId="77777777" w:rsidR="003715A2" w:rsidRDefault="003715A2" w:rsidP="005754E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3715A2" w14:paraId="137B7CD0" w14:textId="77777777" w:rsidTr="005754EE">
        <w:tc>
          <w:tcPr>
            <w:tcW w:w="2160" w:type="dxa"/>
            <w:vMerge/>
          </w:tcPr>
          <w:p w14:paraId="6C5E4FE2" w14:textId="77777777" w:rsidR="003715A2" w:rsidRDefault="003715A2" w:rsidP="005754EE">
            <w:pPr>
              <w:jc w:val="center"/>
              <w:rPr>
                <w:rFonts w:eastAsia="楷体_GB2312"/>
                <w:b/>
                <w:sz w:val="30"/>
                <w:szCs w:val="30"/>
              </w:rPr>
            </w:pPr>
          </w:p>
        </w:tc>
        <w:tc>
          <w:tcPr>
            <w:tcW w:w="2880" w:type="dxa"/>
            <w:tcBorders>
              <w:top w:val="single" w:sz="4" w:space="0" w:color="auto"/>
            </w:tcBorders>
            <w:vAlign w:val="center"/>
          </w:tcPr>
          <w:p w14:paraId="792B76DA" w14:textId="77777777" w:rsidR="003715A2" w:rsidRDefault="003715A2" w:rsidP="005754E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036FF588" w14:textId="77777777" w:rsidR="003715A2" w:rsidRDefault="003715A2" w:rsidP="003715A2">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3715A2" w14:paraId="6C7CDF64" w14:textId="77777777" w:rsidTr="005754EE">
        <w:tc>
          <w:tcPr>
            <w:tcW w:w="2160" w:type="dxa"/>
            <w:vMerge w:val="restart"/>
            <w:vAlign w:val="center"/>
          </w:tcPr>
          <w:p w14:paraId="792B1E32" w14:textId="77777777" w:rsidR="003715A2" w:rsidRDefault="003715A2" w:rsidP="005754E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0632626C" w14:textId="77777777" w:rsidR="003715A2" w:rsidRDefault="003715A2" w:rsidP="005754E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55F67F42" w14:textId="77777777" w:rsidR="003715A2" w:rsidRDefault="003715A2" w:rsidP="005754EE">
            <w:pPr>
              <w:rPr>
                <w:rFonts w:eastAsia="楷体_GB2312"/>
                <w:b/>
                <w:sz w:val="30"/>
                <w:szCs w:val="30"/>
              </w:rPr>
            </w:pPr>
            <w:r>
              <w:rPr>
                <w:rFonts w:eastAsia="楷体_GB2312"/>
                <w:b/>
                <w:sz w:val="30"/>
                <w:szCs w:val="30"/>
              </w:rPr>
              <w:t>名称：</w:t>
            </w:r>
            <w:r>
              <w:rPr>
                <w:rFonts w:eastAsia="楷体_GB2312" w:hint="eastAsia"/>
                <w:b/>
                <w:sz w:val="30"/>
                <w:szCs w:val="30"/>
              </w:rPr>
              <w:t>会计</w:t>
            </w:r>
          </w:p>
        </w:tc>
      </w:tr>
      <w:tr w:rsidR="003715A2" w14:paraId="5DDCD3B3" w14:textId="77777777" w:rsidTr="005754EE">
        <w:tc>
          <w:tcPr>
            <w:tcW w:w="2160" w:type="dxa"/>
            <w:vMerge/>
          </w:tcPr>
          <w:p w14:paraId="0D92E60F" w14:textId="77777777" w:rsidR="003715A2" w:rsidRDefault="003715A2" w:rsidP="005754EE">
            <w:pPr>
              <w:jc w:val="center"/>
              <w:rPr>
                <w:rFonts w:eastAsia="楷体_GB2312"/>
                <w:b/>
                <w:sz w:val="30"/>
                <w:szCs w:val="30"/>
              </w:rPr>
            </w:pPr>
          </w:p>
        </w:tc>
        <w:tc>
          <w:tcPr>
            <w:tcW w:w="2880" w:type="dxa"/>
            <w:tcBorders>
              <w:top w:val="single" w:sz="4" w:space="0" w:color="auto"/>
            </w:tcBorders>
            <w:vAlign w:val="center"/>
          </w:tcPr>
          <w:p w14:paraId="5790821F" w14:textId="77777777" w:rsidR="003715A2" w:rsidRDefault="003715A2" w:rsidP="005754EE">
            <w:pPr>
              <w:rPr>
                <w:rFonts w:eastAsia="楷体_GB2312"/>
                <w:b/>
                <w:sz w:val="30"/>
                <w:szCs w:val="30"/>
              </w:rPr>
            </w:pPr>
            <w:r>
              <w:rPr>
                <w:rFonts w:eastAsia="楷体_GB2312"/>
                <w:b/>
                <w:sz w:val="30"/>
                <w:szCs w:val="30"/>
              </w:rPr>
              <w:t>代码：</w:t>
            </w:r>
            <w:r>
              <w:rPr>
                <w:rFonts w:eastAsia="楷体_GB2312" w:hint="eastAsia"/>
                <w:b/>
                <w:sz w:val="30"/>
                <w:szCs w:val="30"/>
              </w:rPr>
              <w:t>1253</w:t>
            </w:r>
          </w:p>
        </w:tc>
      </w:tr>
    </w:tbl>
    <w:p w14:paraId="7BB25E34" w14:textId="77777777" w:rsidR="003715A2" w:rsidRDefault="003715A2" w:rsidP="003715A2">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3715A2" w14:paraId="614B8AEB" w14:textId="77777777" w:rsidTr="005754EE">
        <w:tc>
          <w:tcPr>
            <w:tcW w:w="2160" w:type="dxa"/>
            <w:vMerge w:val="restart"/>
            <w:vAlign w:val="center"/>
          </w:tcPr>
          <w:p w14:paraId="04D4EB7A" w14:textId="77777777" w:rsidR="003715A2" w:rsidRDefault="003715A2" w:rsidP="005754E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775A6116" w14:textId="77777777" w:rsidR="003715A2" w:rsidRDefault="003715A2" w:rsidP="005754E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3715A2" w14:paraId="54740205" w14:textId="77777777" w:rsidTr="005754EE">
        <w:tc>
          <w:tcPr>
            <w:tcW w:w="2160" w:type="dxa"/>
            <w:vMerge/>
          </w:tcPr>
          <w:p w14:paraId="2A1D3203" w14:textId="77777777" w:rsidR="003715A2" w:rsidRDefault="003715A2" w:rsidP="005754EE">
            <w:pPr>
              <w:jc w:val="center"/>
              <w:rPr>
                <w:rFonts w:eastAsia="楷体_GB2312"/>
                <w:b/>
                <w:sz w:val="30"/>
                <w:szCs w:val="30"/>
              </w:rPr>
            </w:pPr>
          </w:p>
        </w:tc>
        <w:tc>
          <w:tcPr>
            <w:tcW w:w="2880" w:type="dxa"/>
            <w:tcBorders>
              <w:top w:val="single" w:sz="4" w:space="0" w:color="auto"/>
            </w:tcBorders>
            <w:vAlign w:val="center"/>
          </w:tcPr>
          <w:p w14:paraId="3D14725C" w14:textId="77777777" w:rsidR="003715A2" w:rsidRDefault="003715A2" w:rsidP="005754E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017E686A" w14:textId="77777777" w:rsidR="003715A2" w:rsidRDefault="003715A2" w:rsidP="003715A2">
      <w:pPr>
        <w:spacing w:line="720" w:lineRule="auto"/>
        <w:jc w:val="center"/>
        <w:rPr>
          <w:rFonts w:eastAsia="楷体_GB2312"/>
          <w:b/>
          <w:sz w:val="30"/>
          <w:szCs w:val="30"/>
        </w:rPr>
      </w:pPr>
    </w:p>
    <w:p w14:paraId="697861E1" w14:textId="62E00847" w:rsidR="003715A2" w:rsidRDefault="003715A2" w:rsidP="003715A2">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717C6D54" w14:textId="77777777" w:rsidR="003715A2" w:rsidRDefault="003715A2" w:rsidP="003715A2">
      <w:pPr>
        <w:spacing w:line="400" w:lineRule="exact"/>
        <w:rPr>
          <w:rFonts w:ascii="黑体" w:eastAsia="黑体"/>
          <w:b/>
          <w:sz w:val="32"/>
          <w:szCs w:val="32"/>
        </w:rPr>
      </w:pPr>
    </w:p>
    <w:p w14:paraId="076A140C" w14:textId="77777777" w:rsidR="003715A2" w:rsidRDefault="003715A2" w:rsidP="003715A2">
      <w:pPr>
        <w:spacing w:line="400" w:lineRule="exact"/>
        <w:rPr>
          <w:rFonts w:ascii="黑体" w:eastAsia="黑体"/>
          <w:b/>
          <w:sz w:val="32"/>
          <w:szCs w:val="32"/>
        </w:rPr>
      </w:pPr>
    </w:p>
    <w:p w14:paraId="2436677A" w14:textId="77777777" w:rsidR="003715A2" w:rsidRDefault="003715A2" w:rsidP="003715A2">
      <w:pPr>
        <w:spacing w:line="400" w:lineRule="exact"/>
        <w:rPr>
          <w:rFonts w:ascii="黑体" w:eastAsia="黑体"/>
          <w:b/>
          <w:sz w:val="32"/>
          <w:szCs w:val="32"/>
        </w:rPr>
      </w:pPr>
    </w:p>
    <w:p w14:paraId="05419A4E" w14:textId="77777777" w:rsidR="003715A2" w:rsidRDefault="003715A2" w:rsidP="003715A2">
      <w:pPr>
        <w:spacing w:line="400" w:lineRule="exact"/>
        <w:rPr>
          <w:rFonts w:ascii="黑体" w:eastAsia="黑体"/>
          <w:b/>
          <w:sz w:val="32"/>
          <w:szCs w:val="32"/>
        </w:rPr>
      </w:pPr>
    </w:p>
    <w:p w14:paraId="06610493" w14:textId="77777777" w:rsidR="003715A2" w:rsidRDefault="003715A2" w:rsidP="003715A2">
      <w:pPr>
        <w:spacing w:line="400" w:lineRule="exact"/>
        <w:rPr>
          <w:rFonts w:ascii="黑体" w:eastAsia="黑体"/>
          <w:b/>
          <w:sz w:val="32"/>
          <w:szCs w:val="32"/>
        </w:rPr>
      </w:pPr>
    </w:p>
    <w:p w14:paraId="7A925826" w14:textId="77777777" w:rsidR="003715A2" w:rsidRDefault="003715A2" w:rsidP="003715A2">
      <w:pPr>
        <w:spacing w:line="400" w:lineRule="exact"/>
        <w:rPr>
          <w:rFonts w:ascii="黑体" w:eastAsia="黑体" w:hint="eastAsia"/>
          <w:b/>
          <w:sz w:val="32"/>
          <w:szCs w:val="32"/>
        </w:rPr>
      </w:pPr>
    </w:p>
    <w:p w14:paraId="76D04CE5" w14:textId="6370D46D" w:rsidR="003715A2" w:rsidRDefault="003715A2" w:rsidP="003715A2">
      <w:pPr>
        <w:spacing w:line="400" w:lineRule="exact"/>
        <w:rPr>
          <w:rFonts w:eastAsia="方正仿宋简体"/>
          <w:b/>
          <w:sz w:val="32"/>
          <w:szCs w:val="32"/>
        </w:rPr>
      </w:pPr>
      <w:r>
        <w:rPr>
          <w:rFonts w:ascii="黑体" w:eastAsia="黑体"/>
          <w:b/>
          <w:sz w:val="32"/>
          <w:szCs w:val="32"/>
        </w:rPr>
        <w:lastRenderedPageBreak/>
        <w:t>一、学位授权点</w:t>
      </w:r>
      <w:r>
        <w:rPr>
          <w:rFonts w:ascii="黑体" w:eastAsia="黑体" w:hint="eastAsia"/>
          <w:b/>
          <w:sz w:val="32"/>
          <w:szCs w:val="32"/>
        </w:rPr>
        <w:t>基本情况</w:t>
      </w:r>
    </w:p>
    <w:p w14:paraId="3022EF58" w14:textId="6D525B3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本学位授权点为会计硕士专业学位授权点，2004年获</w:t>
      </w:r>
      <w:proofErr w:type="gramStart"/>
      <w:r>
        <w:rPr>
          <w:rFonts w:ascii="楷体_GB2312" w:eastAsia="楷体_GB2312" w:hint="eastAsia"/>
          <w:color w:val="000000"/>
          <w:sz w:val="30"/>
          <w:szCs w:val="30"/>
        </w:rPr>
        <w:t>批成为</w:t>
      </w:r>
      <w:proofErr w:type="gramEnd"/>
      <w:r>
        <w:rPr>
          <w:rFonts w:ascii="楷体_GB2312" w:eastAsia="楷体_GB2312" w:hint="eastAsia"/>
          <w:color w:val="000000"/>
          <w:sz w:val="30"/>
          <w:szCs w:val="30"/>
        </w:rPr>
        <w:t>全国首批会计硕士培养单位，并于当年开始招生</w:t>
      </w:r>
      <w:r w:rsidR="005C3136">
        <w:rPr>
          <w:rFonts w:ascii="楷体_GB2312" w:eastAsia="楷体_GB2312" w:hint="eastAsia"/>
          <w:color w:val="000000"/>
          <w:sz w:val="30"/>
          <w:szCs w:val="30"/>
        </w:rPr>
        <w:t>，</w:t>
      </w:r>
      <w:bookmarkStart w:id="0" w:name="_Hlk192837967"/>
      <w:r w:rsidR="005C3136">
        <w:rPr>
          <w:rFonts w:ascii="楷体_GB2312" w:eastAsia="楷体_GB2312" w:hint="eastAsia"/>
          <w:color w:val="000000"/>
          <w:sz w:val="30"/>
          <w:szCs w:val="30"/>
        </w:rPr>
        <w:t>2024年</w:t>
      </w:r>
      <w:r w:rsidR="005C3136" w:rsidRPr="005C3136">
        <w:rPr>
          <w:rFonts w:ascii="楷体_GB2312" w:eastAsia="楷体_GB2312" w:hint="eastAsia"/>
          <w:color w:val="000000"/>
          <w:sz w:val="30"/>
          <w:szCs w:val="30"/>
        </w:rPr>
        <w:t>通过AAPEQ认证维持认证</w:t>
      </w:r>
      <w:r w:rsidR="005C3136">
        <w:rPr>
          <w:rFonts w:ascii="楷体_GB2312" w:eastAsia="楷体_GB2312" w:hint="eastAsia"/>
          <w:color w:val="000000"/>
          <w:sz w:val="30"/>
          <w:szCs w:val="30"/>
        </w:rPr>
        <w:t>，再次成为A</w:t>
      </w:r>
      <w:proofErr w:type="gramStart"/>
      <w:r w:rsidR="005C3136">
        <w:rPr>
          <w:rFonts w:ascii="楷体_GB2312" w:eastAsia="楷体_GB2312" w:hint="eastAsia"/>
          <w:color w:val="000000"/>
          <w:sz w:val="30"/>
          <w:szCs w:val="30"/>
        </w:rPr>
        <w:t>级成员</w:t>
      </w:r>
      <w:proofErr w:type="gramEnd"/>
      <w:r w:rsidR="005C3136">
        <w:rPr>
          <w:rFonts w:ascii="楷体_GB2312" w:eastAsia="楷体_GB2312" w:hint="eastAsia"/>
          <w:color w:val="000000"/>
          <w:sz w:val="30"/>
          <w:szCs w:val="30"/>
        </w:rPr>
        <w:t>单位</w:t>
      </w:r>
      <w:bookmarkEnd w:id="0"/>
      <w:r>
        <w:rPr>
          <w:rFonts w:ascii="楷体_GB2312" w:eastAsia="楷体_GB2312" w:hint="eastAsia"/>
          <w:color w:val="000000"/>
          <w:sz w:val="30"/>
          <w:szCs w:val="30"/>
        </w:rPr>
        <w:t>；2024年获</w:t>
      </w:r>
      <w:proofErr w:type="gramStart"/>
      <w:r>
        <w:rPr>
          <w:rFonts w:ascii="楷体_GB2312" w:eastAsia="楷体_GB2312" w:hint="eastAsia"/>
          <w:color w:val="000000"/>
          <w:sz w:val="30"/>
          <w:szCs w:val="30"/>
        </w:rPr>
        <w:t>批成为</w:t>
      </w:r>
      <w:proofErr w:type="gramEnd"/>
      <w:r>
        <w:rPr>
          <w:rFonts w:ascii="楷体_GB2312" w:eastAsia="楷体_GB2312" w:hint="eastAsia"/>
          <w:color w:val="000000"/>
          <w:sz w:val="30"/>
          <w:szCs w:val="30"/>
        </w:rPr>
        <w:t>全国首批会计博士培养单位，</w:t>
      </w:r>
      <w:bookmarkStart w:id="1" w:name="_Hlk183168420"/>
      <w:r>
        <w:rPr>
          <w:rFonts w:ascii="楷体_GB2312" w:eastAsia="楷体_GB2312" w:hint="eastAsia"/>
          <w:color w:val="000000"/>
          <w:sz w:val="30"/>
          <w:szCs w:val="30"/>
        </w:rPr>
        <w:t>本学位点由暨南大学会计硕士教育中心管理。</w:t>
      </w:r>
    </w:p>
    <w:bookmarkEnd w:id="1"/>
    <w:p w14:paraId="4744CA13"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1.目标与标准</w:t>
      </w:r>
    </w:p>
    <w:p w14:paraId="35092334"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1.1培养目标</w:t>
      </w:r>
    </w:p>
    <w:p w14:paraId="3A9855BC" w14:textId="77777777" w:rsidR="003715A2" w:rsidRDefault="003715A2" w:rsidP="003715A2">
      <w:pPr>
        <w:spacing w:line="540" w:lineRule="exact"/>
        <w:ind w:firstLineChars="200" w:firstLine="600"/>
        <w:rPr>
          <w:rFonts w:ascii="楷体_GB2312" w:eastAsia="楷体_GB2312"/>
          <w:color w:val="000000"/>
          <w:sz w:val="30"/>
          <w:szCs w:val="30"/>
        </w:rPr>
      </w:pPr>
      <w:r w:rsidRPr="00411602">
        <w:rPr>
          <w:rFonts w:ascii="楷体_GB2312" w:eastAsia="楷体_GB2312" w:hint="eastAsia"/>
          <w:color w:val="000000"/>
          <w:sz w:val="30"/>
          <w:szCs w:val="30"/>
        </w:rPr>
        <w:t>本学位点坚持“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本学位</w:t>
      </w:r>
      <w:proofErr w:type="gramStart"/>
      <w:r w:rsidRPr="00411602">
        <w:rPr>
          <w:rFonts w:ascii="楷体_GB2312" w:eastAsia="楷体_GB2312" w:hint="eastAsia"/>
          <w:color w:val="000000"/>
          <w:sz w:val="30"/>
          <w:szCs w:val="30"/>
        </w:rPr>
        <w:t>点人才</w:t>
      </w:r>
      <w:proofErr w:type="gramEnd"/>
      <w:r w:rsidRPr="00411602">
        <w:rPr>
          <w:rFonts w:ascii="楷体_GB2312" w:eastAsia="楷体_GB2312" w:hint="eastAsia"/>
          <w:color w:val="000000"/>
          <w:sz w:val="30"/>
          <w:szCs w:val="30"/>
        </w:rPr>
        <w:t>培养定位分为行业定位和层次定位两个方面。在行业定位方面，毕业生是面向实务界的财务、会计、审计、投资、证券、保险、咨询等行业的应用型会计人才；在层次定位方面，毕业生是具备优秀的业务能力，具有从事会计管理工作所必备的国际视野、战略意识和领导潜质的高层次会计人才。</w:t>
      </w:r>
    </w:p>
    <w:p w14:paraId="011DF0F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1.2学位标准</w:t>
      </w:r>
    </w:p>
    <w:p w14:paraId="74B18A71" w14:textId="77777777" w:rsidR="003715A2" w:rsidRDefault="003715A2" w:rsidP="003715A2">
      <w:pPr>
        <w:spacing w:line="540" w:lineRule="exact"/>
        <w:ind w:firstLineChars="200" w:firstLine="600"/>
        <w:rPr>
          <w:rFonts w:ascii="楷体_GB2312" w:eastAsia="楷体_GB2312"/>
          <w:color w:val="000000"/>
          <w:sz w:val="30"/>
          <w:szCs w:val="30"/>
        </w:rPr>
      </w:pPr>
      <w:r w:rsidRPr="005A7A1C">
        <w:rPr>
          <w:rFonts w:ascii="楷体_GB2312" w:eastAsia="楷体_GB2312" w:hint="eastAsia"/>
          <w:color w:val="000000"/>
          <w:sz w:val="30"/>
          <w:szCs w:val="30"/>
        </w:rPr>
        <w:t>本学位点授予会计硕士学位，根据《暨南大学学位授予工作实施细则》，现将硕士学位授予标准摘录如下：</w:t>
      </w:r>
    </w:p>
    <w:p w14:paraId="5A190E08"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1.2.1</w:t>
      </w:r>
      <w:r w:rsidRPr="005A7A1C">
        <w:rPr>
          <w:rFonts w:ascii="楷体_GB2312" w:eastAsia="楷体_GB2312" w:hint="eastAsia"/>
          <w:color w:val="000000"/>
          <w:sz w:val="30"/>
          <w:szCs w:val="30"/>
        </w:rPr>
        <w:t>硕士学位的学术水平</w:t>
      </w:r>
    </w:p>
    <w:p w14:paraId="0E3C2D63" w14:textId="77777777" w:rsidR="003715A2" w:rsidRDefault="003715A2" w:rsidP="003715A2">
      <w:pPr>
        <w:spacing w:line="540" w:lineRule="exact"/>
        <w:ind w:firstLineChars="200" w:firstLine="600"/>
        <w:rPr>
          <w:rFonts w:ascii="楷体_GB2312" w:eastAsia="楷体_GB2312"/>
          <w:color w:val="000000"/>
          <w:sz w:val="30"/>
          <w:szCs w:val="30"/>
        </w:rPr>
      </w:pPr>
      <w:r w:rsidRPr="005A7A1C">
        <w:rPr>
          <w:rFonts w:ascii="楷体_GB2312" w:eastAsia="楷体_GB2312" w:hint="eastAsia"/>
          <w:color w:val="000000"/>
          <w:sz w:val="30"/>
          <w:szCs w:val="30"/>
        </w:rPr>
        <w:t>学位申请人遵守学术道德规范，完成了培养计划的各项要求；通过硕士学位课程考试和学位论文答辩，成绩合格，达到下述学术水平者，可授予硕士学位。</w:t>
      </w:r>
    </w:p>
    <w:p w14:paraId="35A5F8B2"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lastRenderedPageBreak/>
        <w:t>（1）</w:t>
      </w:r>
      <w:r w:rsidRPr="005A7A1C">
        <w:rPr>
          <w:rFonts w:ascii="楷体_GB2312" w:eastAsia="楷体_GB2312" w:hint="eastAsia"/>
          <w:color w:val="000000"/>
          <w:sz w:val="30"/>
          <w:szCs w:val="30"/>
        </w:rPr>
        <w:t>掌握马克思主义的基本理论（港澳和台湾学生、外籍华人学生改为修读通识教育课）。</w:t>
      </w:r>
    </w:p>
    <w:p w14:paraId="3B429450"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w:t>
      </w:r>
      <w:r w:rsidRPr="005A7A1C">
        <w:rPr>
          <w:rFonts w:ascii="楷体_GB2312" w:eastAsia="楷体_GB2312" w:hint="eastAsia"/>
          <w:color w:val="000000"/>
          <w:sz w:val="30"/>
          <w:szCs w:val="30"/>
        </w:rPr>
        <w:t>在本门学科上掌握坚实的基础理论和系统的专门知识。</w:t>
      </w:r>
    </w:p>
    <w:p w14:paraId="04409E21"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w:t>
      </w:r>
      <w:r w:rsidRPr="005A7A1C">
        <w:rPr>
          <w:rFonts w:ascii="楷体_GB2312" w:eastAsia="楷体_GB2312" w:hint="eastAsia"/>
          <w:color w:val="000000"/>
          <w:sz w:val="30"/>
          <w:szCs w:val="30"/>
        </w:rPr>
        <w:t>具有从事科学研究工作或独立从事实际工作的专门技术水平。</w:t>
      </w:r>
    </w:p>
    <w:p w14:paraId="3DFEFC07"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w:t>
      </w:r>
      <w:r w:rsidRPr="005A7A1C">
        <w:rPr>
          <w:rFonts w:ascii="楷体_GB2312" w:eastAsia="楷体_GB2312" w:hint="eastAsia"/>
          <w:color w:val="000000"/>
          <w:sz w:val="30"/>
          <w:szCs w:val="30"/>
        </w:rPr>
        <w:t>能运用第一外国语熟练地阅读本专业的文献资料，并能写出论文的外文摘要。</w:t>
      </w:r>
    </w:p>
    <w:p w14:paraId="7A17808A"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1.2.2</w:t>
      </w:r>
      <w:r w:rsidRPr="00173487">
        <w:rPr>
          <w:rFonts w:ascii="楷体_GB2312" w:eastAsia="楷体_GB2312" w:hint="eastAsia"/>
          <w:color w:val="000000"/>
          <w:sz w:val="30"/>
          <w:szCs w:val="30"/>
        </w:rPr>
        <w:t>硕士学位的课程考试和要求</w:t>
      </w:r>
    </w:p>
    <w:p w14:paraId="72AB32D4" w14:textId="77777777" w:rsidR="003715A2" w:rsidRDefault="003715A2" w:rsidP="003715A2">
      <w:pPr>
        <w:spacing w:line="540" w:lineRule="exact"/>
        <w:ind w:firstLineChars="200" w:firstLine="600"/>
        <w:rPr>
          <w:rFonts w:ascii="楷体_GB2312" w:eastAsia="楷体_GB2312"/>
          <w:color w:val="000000"/>
          <w:sz w:val="30"/>
          <w:szCs w:val="30"/>
        </w:rPr>
      </w:pPr>
      <w:r w:rsidRPr="00173487">
        <w:rPr>
          <w:rFonts w:ascii="楷体_GB2312" w:eastAsia="楷体_GB2312" w:hint="eastAsia"/>
          <w:color w:val="000000"/>
          <w:sz w:val="30"/>
          <w:szCs w:val="30"/>
        </w:rPr>
        <w:t>学位申请人必须在学位论文答辩以前，通过学位课程考试。硕士学位的课程考试，应按培养方案的规定执行。学位课程平均成绩必须不低于75分。课程考试的其他具体要求，参照《暨南大学研究生学业成绩考核管理规定》及《暨南大学研究生课程管理办法》中的有关条款执行。</w:t>
      </w:r>
    </w:p>
    <w:p w14:paraId="2CC9E33B"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2.基本条件</w:t>
      </w:r>
    </w:p>
    <w:p w14:paraId="581F1DC8"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2.1培养特色</w:t>
      </w:r>
    </w:p>
    <w:p w14:paraId="3CC6693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本学位点采用</w:t>
      </w:r>
      <w:r w:rsidRPr="00BE3D91">
        <w:rPr>
          <w:rFonts w:ascii="楷体_GB2312" w:eastAsia="楷体_GB2312" w:hint="eastAsia"/>
          <w:color w:val="000000"/>
          <w:sz w:val="30"/>
          <w:szCs w:val="30"/>
        </w:rPr>
        <w:t>“知行合一”的培养模式</w:t>
      </w:r>
      <w:r>
        <w:rPr>
          <w:rFonts w:ascii="楷体_GB2312" w:eastAsia="楷体_GB2312" w:hint="eastAsia"/>
          <w:color w:val="000000"/>
          <w:sz w:val="30"/>
          <w:szCs w:val="30"/>
        </w:rPr>
        <w:t>。</w:t>
      </w:r>
      <w:r w:rsidRPr="00BE3D91">
        <w:rPr>
          <w:rFonts w:ascii="楷体_GB2312" w:eastAsia="楷体_GB2312" w:hint="eastAsia"/>
          <w:color w:val="000000"/>
          <w:sz w:val="30"/>
          <w:szCs w:val="30"/>
        </w:rPr>
        <w:t>“知”是指学习理论知识，“行”是指参与实践活动。为实现人才培养目标，暨南大学会计硕士教育中心长期贯彻实施“知行合一”的培养模式，建立起理论与实践并重的会计硕士人才培养格局，将扎实的理论基础教育与突出的实践能力充分结合，打造高层次、创新型、应用型、国际化的财会人才培养的摇篮。</w:t>
      </w:r>
    </w:p>
    <w:p w14:paraId="22BEF12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2.2师资队伍</w:t>
      </w:r>
    </w:p>
    <w:p w14:paraId="1235D89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本学位点骨干教师15人，专任教师48人，</w:t>
      </w:r>
      <w:r w:rsidRPr="001E4ECC">
        <w:rPr>
          <w:rFonts w:ascii="楷体_GB2312" w:eastAsia="楷体_GB2312" w:hint="eastAsia"/>
          <w:color w:val="000000"/>
          <w:sz w:val="30"/>
          <w:szCs w:val="30"/>
        </w:rPr>
        <w:t>副高以上职称的比重</w:t>
      </w:r>
      <w:r>
        <w:rPr>
          <w:rFonts w:ascii="楷体_GB2312" w:eastAsia="楷体_GB2312" w:hint="eastAsia"/>
          <w:color w:val="000000"/>
          <w:sz w:val="30"/>
          <w:szCs w:val="30"/>
        </w:rPr>
        <w:t>85%，</w:t>
      </w:r>
      <w:r w:rsidRPr="001E4ECC">
        <w:rPr>
          <w:rFonts w:ascii="楷体_GB2312" w:eastAsia="楷体_GB2312" w:hint="eastAsia"/>
          <w:color w:val="000000"/>
          <w:sz w:val="30"/>
          <w:szCs w:val="30"/>
        </w:rPr>
        <w:t>拥有博士学位的比重</w:t>
      </w:r>
      <w:r>
        <w:rPr>
          <w:rFonts w:ascii="楷体_GB2312" w:eastAsia="楷体_GB2312" w:hint="eastAsia"/>
          <w:color w:val="000000"/>
          <w:sz w:val="30"/>
          <w:szCs w:val="30"/>
        </w:rPr>
        <w:t>100%；实践指导教师121人，基本为具有硕士及以上学位的副高及以上职称的行业专家。</w:t>
      </w:r>
    </w:p>
    <w:p w14:paraId="36C29230" w14:textId="77777777" w:rsidR="003715A2" w:rsidRDefault="003715A2" w:rsidP="003715A2">
      <w:pPr>
        <w:spacing w:line="540" w:lineRule="exact"/>
        <w:ind w:firstLineChars="200" w:firstLine="600"/>
        <w:rPr>
          <w:rFonts w:ascii="楷体_GB2312" w:eastAsia="楷体_GB2312"/>
          <w:color w:val="000000"/>
          <w:sz w:val="30"/>
          <w:szCs w:val="30"/>
        </w:rPr>
      </w:pPr>
      <w:r w:rsidRPr="00EE5F57">
        <w:rPr>
          <w:rFonts w:ascii="楷体_GB2312" w:eastAsia="楷体_GB2312" w:hint="eastAsia"/>
          <w:color w:val="000000"/>
          <w:sz w:val="30"/>
          <w:szCs w:val="30"/>
        </w:rPr>
        <w:lastRenderedPageBreak/>
        <w:t>2.3科学研究</w:t>
      </w:r>
    </w:p>
    <w:p w14:paraId="616F0EE8" w14:textId="77777777" w:rsidR="003715A2" w:rsidRDefault="003715A2" w:rsidP="003715A2">
      <w:pPr>
        <w:spacing w:line="540" w:lineRule="exact"/>
        <w:ind w:firstLineChars="200" w:firstLine="600"/>
        <w:rPr>
          <w:rFonts w:ascii="楷体_GB2312" w:eastAsia="楷体_GB2312"/>
          <w:color w:val="000000"/>
          <w:sz w:val="30"/>
          <w:szCs w:val="30"/>
        </w:rPr>
      </w:pPr>
      <w:bookmarkStart w:id="2" w:name="OLE_LINK1"/>
      <w:r>
        <w:rPr>
          <w:rFonts w:ascii="楷体_GB2312" w:eastAsia="楷体_GB2312" w:hint="eastAsia"/>
          <w:color w:val="000000"/>
          <w:sz w:val="30"/>
          <w:szCs w:val="30"/>
        </w:rPr>
        <w:t>2024年，</w:t>
      </w:r>
      <w:r w:rsidRPr="00313FCA">
        <w:rPr>
          <w:rFonts w:ascii="楷体_GB2312" w:eastAsia="楷体_GB2312" w:hint="eastAsia"/>
          <w:color w:val="000000"/>
          <w:sz w:val="30"/>
          <w:szCs w:val="30"/>
        </w:rPr>
        <w:t>本学位点专任教师在会计、财务、审计等领域期刊</w:t>
      </w:r>
      <w:r>
        <w:rPr>
          <w:rFonts w:ascii="楷体_GB2312" w:eastAsia="楷体_GB2312" w:hint="eastAsia"/>
          <w:color w:val="000000"/>
          <w:sz w:val="30"/>
          <w:szCs w:val="30"/>
        </w:rPr>
        <w:t>发表论文34篇，立项项目4项</w:t>
      </w:r>
      <w:r w:rsidRPr="007E5F70">
        <w:rPr>
          <w:rFonts w:ascii="楷体_GB2312" w:eastAsia="楷体_GB2312" w:hint="eastAsia"/>
          <w:color w:val="000000"/>
          <w:sz w:val="30"/>
          <w:szCs w:val="30"/>
        </w:rPr>
        <w:t>。</w:t>
      </w:r>
    </w:p>
    <w:p w14:paraId="7C9BC174" w14:textId="77777777" w:rsidR="003715A2" w:rsidRDefault="003715A2" w:rsidP="003715A2">
      <w:pPr>
        <w:pStyle w:val="1"/>
        <w:adjustRightInd w:val="0"/>
        <w:snapToGrid w:val="0"/>
        <w:ind w:firstLineChars="0" w:firstLine="560"/>
        <w:jc w:val="center"/>
        <w:rPr>
          <w:rFonts w:ascii="仿宋" w:eastAsia="仿宋" w:hAnsi="仿宋" w:cs="仿宋" w:hint="eastAsia"/>
          <w:snapToGrid w:val="0"/>
          <w:color w:val="000000"/>
          <w:spacing w:val="-11"/>
          <w:sz w:val="28"/>
          <w:szCs w:val="28"/>
        </w:rPr>
      </w:pPr>
      <w:bookmarkStart w:id="3" w:name="_Hlk192337167"/>
      <w:bookmarkEnd w:id="2"/>
      <w:r>
        <w:rPr>
          <w:rFonts w:ascii="Times New Roman" w:eastAsia="方正仿宋简体" w:hAnsi="Times New Roman" w:cs="Times New Roman" w:hint="eastAsia"/>
          <w:color w:val="000000"/>
          <w:sz w:val="28"/>
          <w:szCs w:val="28"/>
        </w:rPr>
        <w:t>表</w:t>
      </w:r>
      <w:r>
        <w:rPr>
          <w:rFonts w:ascii="Times New Roman" w:eastAsia="方正仿宋简体" w:hAnsi="Times New Roman" w:cs="Times New Roman" w:hint="eastAsia"/>
          <w:color w:val="000000"/>
          <w:sz w:val="28"/>
          <w:szCs w:val="28"/>
        </w:rPr>
        <w:t xml:space="preserve"> </w:t>
      </w:r>
      <w:r>
        <w:rPr>
          <w:rFonts w:ascii="Times New Roman" w:eastAsia="方正仿宋简体" w:hAnsi="Times New Roman" w:cs="Times New Roman" w:hint="eastAsia"/>
          <w:color w:val="000000"/>
          <w:sz w:val="28"/>
          <w:szCs w:val="28"/>
        </w:rPr>
        <w:t>本学位点论文一览表</w:t>
      </w:r>
    </w:p>
    <w:tbl>
      <w:tblPr>
        <w:tblW w:w="8660" w:type="dxa"/>
        <w:tblInd w:w="113" w:type="dxa"/>
        <w:tblLook w:val="04A0" w:firstRow="1" w:lastRow="0" w:firstColumn="1" w:lastColumn="0" w:noHBand="0" w:noVBand="1"/>
      </w:tblPr>
      <w:tblGrid>
        <w:gridCol w:w="580"/>
        <w:gridCol w:w="3000"/>
        <w:gridCol w:w="1080"/>
        <w:gridCol w:w="1080"/>
        <w:gridCol w:w="1840"/>
        <w:gridCol w:w="1080"/>
      </w:tblGrid>
      <w:tr w:rsidR="003715A2" w:rsidRPr="000640F6" w14:paraId="5D5298A1" w14:textId="77777777" w:rsidTr="005754EE">
        <w:trPr>
          <w:trHeight w:val="27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983E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序号</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4B267CC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论文标题</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E8CBC6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作者姓名</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823749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作者类型</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233B68F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发表期刊</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935BAF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发表年月</w:t>
            </w:r>
          </w:p>
        </w:tc>
      </w:tr>
      <w:tr w:rsidR="003715A2" w:rsidRPr="000640F6" w14:paraId="38F5F622" w14:textId="77777777" w:rsidTr="005754EE">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4B63ED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w:t>
            </w:r>
          </w:p>
        </w:tc>
        <w:tc>
          <w:tcPr>
            <w:tcW w:w="3000" w:type="dxa"/>
            <w:tcBorders>
              <w:top w:val="nil"/>
              <w:left w:val="nil"/>
              <w:bottom w:val="single" w:sz="4" w:space="0" w:color="auto"/>
              <w:right w:val="single" w:sz="4" w:space="0" w:color="auto"/>
            </w:tcBorders>
            <w:shd w:val="clear" w:color="auto" w:fill="auto"/>
            <w:vAlign w:val="center"/>
            <w:hideMark/>
          </w:tcPr>
          <w:p w14:paraId="1E959C9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Politics and Robots</w:t>
            </w:r>
          </w:p>
        </w:tc>
        <w:tc>
          <w:tcPr>
            <w:tcW w:w="1080" w:type="dxa"/>
            <w:tcBorders>
              <w:top w:val="nil"/>
              <w:left w:val="nil"/>
              <w:bottom w:val="single" w:sz="4" w:space="0" w:color="auto"/>
              <w:right w:val="single" w:sz="4" w:space="0" w:color="auto"/>
            </w:tcBorders>
            <w:shd w:val="clear" w:color="auto" w:fill="auto"/>
            <w:vAlign w:val="center"/>
            <w:hideMark/>
          </w:tcPr>
          <w:p w14:paraId="6CA5289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1712291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EBFAFF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0ACEC20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2024-01-01</w:t>
            </w:r>
          </w:p>
        </w:tc>
      </w:tr>
      <w:tr w:rsidR="003715A2" w:rsidRPr="000640F6" w14:paraId="32AEDEA2" w14:textId="77777777" w:rsidTr="005754EE">
        <w:trPr>
          <w:trHeight w:val="21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EF058A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w:t>
            </w:r>
          </w:p>
        </w:tc>
        <w:tc>
          <w:tcPr>
            <w:tcW w:w="3000" w:type="dxa"/>
            <w:tcBorders>
              <w:top w:val="nil"/>
              <w:left w:val="nil"/>
              <w:bottom w:val="single" w:sz="4" w:space="0" w:color="auto"/>
              <w:right w:val="single" w:sz="4" w:space="0" w:color="auto"/>
            </w:tcBorders>
            <w:shd w:val="clear" w:color="auto" w:fill="auto"/>
            <w:vAlign w:val="center"/>
            <w:hideMark/>
          </w:tcPr>
          <w:p w14:paraId="75860AD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 xml:space="preserve">Air pollution-induced brain </w:t>
            </w:r>
            <w:proofErr w:type="gramStart"/>
            <w:r w:rsidRPr="000640F6">
              <w:rPr>
                <w:rFonts w:ascii="宋体" w:hAnsi="宋体" w:cs="宋体" w:hint="eastAsia"/>
                <w:color w:val="000000"/>
                <w:sz w:val="20"/>
              </w:rPr>
              <w:t>drain</w:t>
            </w:r>
            <w:proofErr w:type="gramEnd"/>
            <w:r w:rsidRPr="000640F6">
              <w:rPr>
                <w:rFonts w:ascii="宋体" w:hAnsi="宋体" w:cs="宋体" w:hint="eastAsia"/>
                <w:color w:val="000000"/>
                <w:sz w:val="20"/>
              </w:rPr>
              <w:t>: Evidence from inventor mobility</w:t>
            </w:r>
          </w:p>
        </w:tc>
        <w:tc>
          <w:tcPr>
            <w:tcW w:w="1080" w:type="dxa"/>
            <w:tcBorders>
              <w:top w:val="nil"/>
              <w:left w:val="nil"/>
              <w:bottom w:val="single" w:sz="4" w:space="0" w:color="auto"/>
              <w:right w:val="single" w:sz="4" w:space="0" w:color="auto"/>
            </w:tcBorders>
            <w:shd w:val="clear" w:color="auto" w:fill="auto"/>
            <w:vAlign w:val="center"/>
            <w:hideMark/>
          </w:tcPr>
          <w:p w14:paraId="325B6DF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78977B9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66E4E2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30B88AB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2024-01-01</w:t>
            </w:r>
          </w:p>
        </w:tc>
      </w:tr>
      <w:tr w:rsidR="003715A2" w:rsidRPr="000640F6" w14:paraId="1C71AFA9" w14:textId="77777777" w:rsidTr="005754E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99FB74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3</w:t>
            </w:r>
          </w:p>
        </w:tc>
        <w:tc>
          <w:tcPr>
            <w:tcW w:w="3000" w:type="dxa"/>
            <w:tcBorders>
              <w:top w:val="nil"/>
              <w:left w:val="nil"/>
              <w:bottom w:val="single" w:sz="4" w:space="0" w:color="auto"/>
              <w:right w:val="single" w:sz="4" w:space="0" w:color="auto"/>
            </w:tcBorders>
            <w:shd w:val="clear" w:color="auto" w:fill="auto"/>
            <w:vAlign w:val="center"/>
            <w:hideMark/>
          </w:tcPr>
          <w:p w14:paraId="7F46209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Foreign labor and audit quality: Evidence from newly hired H‐1B visa holders</w:t>
            </w:r>
          </w:p>
        </w:tc>
        <w:tc>
          <w:tcPr>
            <w:tcW w:w="1080" w:type="dxa"/>
            <w:tcBorders>
              <w:top w:val="nil"/>
              <w:left w:val="nil"/>
              <w:bottom w:val="single" w:sz="4" w:space="0" w:color="auto"/>
              <w:right w:val="single" w:sz="4" w:space="0" w:color="auto"/>
            </w:tcBorders>
            <w:shd w:val="clear" w:color="auto" w:fill="auto"/>
            <w:vAlign w:val="center"/>
            <w:hideMark/>
          </w:tcPr>
          <w:p w14:paraId="405E055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景姣</w:t>
            </w:r>
          </w:p>
        </w:tc>
        <w:tc>
          <w:tcPr>
            <w:tcW w:w="1080" w:type="dxa"/>
            <w:tcBorders>
              <w:top w:val="nil"/>
              <w:left w:val="nil"/>
              <w:bottom w:val="single" w:sz="4" w:space="0" w:color="auto"/>
              <w:right w:val="single" w:sz="4" w:space="0" w:color="auto"/>
            </w:tcBorders>
            <w:shd w:val="clear" w:color="auto" w:fill="auto"/>
            <w:vAlign w:val="center"/>
            <w:hideMark/>
          </w:tcPr>
          <w:p w14:paraId="7200DB5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5EC4E1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Contemporary Accounting Research</w:t>
            </w:r>
          </w:p>
        </w:tc>
        <w:tc>
          <w:tcPr>
            <w:tcW w:w="1080" w:type="dxa"/>
            <w:tcBorders>
              <w:top w:val="nil"/>
              <w:left w:val="nil"/>
              <w:bottom w:val="single" w:sz="4" w:space="0" w:color="auto"/>
              <w:right w:val="single" w:sz="4" w:space="0" w:color="auto"/>
            </w:tcBorders>
            <w:shd w:val="clear" w:color="auto" w:fill="auto"/>
            <w:vAlign w:val="center"/>
            <w:hideMark/>
          </w:tcPr>
          <w:p w14:paraId="757B762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2024-01-05</w:t>
            </w:r>
          </w:p>
        </w:tc>
      </w:tr>
      <w:tr w:rsidR="003715A2" w:rsidRPr="000640F6" w14:paraId="466B01C4"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06C9E1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4</w:t>
            </w:r>
          </w:p>
        </w:tc>
        <w:tc>
          <w:tcPr>
            <w:tcW w:w="3000" w:type="dxa"/>
            <w:tcBorders>
              <w:top w:val="nil"/>
              <w:left w:val="nil"/>
              <w:bottom w:val="single" w:sz="4" w:space="0" w:color="auto"/>
              <w:right w:val="single" w:sz="4" w:space="0" w:color="auto"/>
            </w:tcBorders>
            <w:shd w:val="clear" w:color="auto" w:fill="auto"/>
            <w:vAlign w:val="center"/>
            <w:hideMark/>
          </w:tcPr>
          <w:p w14:paraId="71F8CA7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金融强监管与企业集团内部资本市场资源配置——来自</w:t>
            </w:r>
            <w:proofErr w:type="gramStart"/>
            <w:r w:rsidRPr="000640F6">
              <w:rPr>
                <w:rFonts w:ascii="宋体" w:hAnsi="宋体" w:cs="宋体" w:hint="eastAsia"/>
                <w:color w:val="000000"/>
                <w:sz w:val="20"/>
              </w:rPr>
              <w:t>资管新规</w:t>
            </w:r>
            <w:proofErr w:type="gramEnd"/>
            <w:r w:rsidRPr="000640F6">
              <w:rPr>
                <w:rFonts w:ascii="宋体" w:hAnsi="宋体" w:cs="宋体" w:hint="eastAsia"/>
                <w:color w:val="000000"/>
                <w:sz w:val="20"/>
              </w:rPr>
              <w:t>的经验证据</w:t>
            </w:r>
          </w:p>
        </w:tc>
        <w:tc>
          <w:tcPr>
            <w:tcW w:w="1080" w:type="dxa"/>
            <w:tcBorders>
              <w:top w:val="nil"/>
              <w:left w:val="nil"/>
              <w:bottom w:val="single" w:sz="4" w:space="0" w:color="auto"/>
              <w:right w:val="single" w:sz="4" w:space="0" w:color="auto"/>
            </w:tcBorders>
            <w:shd w:val="clear" w:color="auto" w:fill="auto"/>
            <w:vAlign w:val="center"/>
            <w:hideMark/>
          </w:tcPr>
          <w:p w14:paraId="707B29D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饶品贵</w:t>
            </w:r>
          </w:p>
        </w:tc>
        <w:tc>
          <w:tcPr>
            <w:tcW w:w="1080" w:type="dxa"/>
            <w:tcBorders>
              <w:top w:val="nil"/>
              <w:left w:val="nil"/>
              <w:bottom w:val="single" w:sz="4" w:space="0" w:color="auto"/>
              <w:right w:val="single" w:sz="4" w:space="0" w:color="auto"/>
            </w:tcBorders>
            <w:shd w:val="clear" w:color="auto" w:fill="auto"/>
            <w:vAlign w:val="center"/>
            <w:hideMark/>
          </w:tcPr>
          <w:p w14:paraId="4001006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178A35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中国工业经济</w:t>
            </w:r>
          </w:p>
        </w:tc>
        <w:tc>
          <w:tcPr>
            <w:tcW w:w="1080" w:type="dxa"/>
            <w:tcBorders>
              <w:top w:val="nil"/>
              <w:left w:val="nil"/>
              <w:bottom w:val="single" w:sz="4" w:space="0" w:color="auto"/>
              <w:right w:val="single" w:sz="4" w:space="0" w:color="auto"/>
            </w:tcBorders>
            <w:shd w:val="clear" w:color="auto" w:fill="auto"/>
            <w:vAlign w:val="center"/>
            <w:hideMark/>
          </w:tcPr>
          <w:p w14:paraId="0C2018F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2024-01-10</w:t>
            </w:r>
          </w:p>
        </w:tc>
      </w:tr>
      <w:tr w:rsidR="003715A2" w:rsidRPr="000640F6" w14:paraId="3CFFFB9A" w14:textId="77777777" w:rsidTr="005754E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22FA47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5</w:t>
            </w:r>
          </w:p>
        </w:tc>
        <w:tc>
          <w:tcPr>
            <w:tcW w:w="3000" w:type="dxa"/>
            <w:tcBorders>
              <w:top w:val="nil"/>
              <w:left w:val="nil"/>
              <w:bottom w:val="single" w:sz="4" w:space="0" w:color="auto"/>
              <w:right w:val="single" w:sz="4" w:space="0" w:color="auto"/>
            </w:tcBorders>
            <w:shd w:val="clear" w:color="auto" w:fill="auto"/>
            <w:vAlign w:val="center"/>
            <w:hideMark/>
          </w:tcPr>
          <w:p w14:paraId="48C54CB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Can online interactions help level the playing field for firms in different regions?</w:t>
            </w:r>
          </w:p>
        </w:tc>
        <w:tc>
          <w:tcPr>
            <w:tcW w:w="1080" w:type="dxa"/>
            <w:tcBorders>
              <w:top w:val="nil"/>
              <w:left w:val="nil"/>
              <w:bottom w:val="single" w:sz="4" w:space="0" w:color="auto"/>
              <w:right w:val="single" w:sz="4" w:space="0" w:color="auto"/>
            </w:tcBorders>
            <w:shd w:val="clear" w:color="auto" w:fill="auto"/>
            <w:vAlign w:val="center"/>
            <w:hideMark/>
          </w:tcPr>
          <w:p w14:paraId="541DAA8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赵晓阳</w:t>
            </w:r>
          </w:p>
        </w:tc>
        <w:tc>
          <w:tcPr>
            <w:tcW w:w="1080" w:type="dxa"/>
            <w:tcBorders>
              <w:top w:val="nil"/>
              <w:left w:val="nil"/>
              <w:bottom w:val="single" w:sz="4" w:space="0" w:color="auto"/>
              <w:right w:val="single" w:sz="4" w:space="0" w:color="auto"/>
            </w:tcBorders>
            <w:shd w:val="clear" w:color="auto" w:fill="auto"/>
            <w:vAlign w:val="center"/>
            <w:hideMark/>
          </w:tcPr>
          <w:p w14:paraId="1123DBE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7B8051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Journal of Accounting Literature</w:t>
            </w:r>
          </w:p>
        </w:tc>
        <w:tc>
          <w:tcPr>
            <w:tcW w:w="1080" w:type="dxa"/>
            <w:tcBorders>
              <w:top w:val="nil"/>
              <w:left w:val="nil"/>
              <w:bottom w:val="single" w:sz="4" w:space="0" w:color="auto"/>
              <w:right w:val="single" w:sz="4" w:space="0" w:color="auto"/>
            </w:tcBorders>
            <w:shd w:val="clear" w:color="auto" w:fill="auto"/>
            <w:vAlign w:val="center"/>
            <w:hideMark/>
          </w:tcPr>
          <w:p w14:paraId="59A8D4F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2024-01-14</w:t>
            </w:r>
          </w:p>
        </w:tc>
      </w:tr>
      <w:tr w:rsidR="003715A2" w:rsidRPr="000640F6" w14:paraId="4FEF3EF1" w14:textId="77777777" w:rsidTr="005754EE">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36408E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lastRenderedPageBreak/>
              <w:t>6</w:t>
            </w:r>
          </w:p>
        </w:tc>
        <w:tc>
          <w:tcPr>
            <w:tcW w:w="3000" w:type="dxa"/>
            <w:tcBorders>
              <w:top w:val="nil"/>
              <w:left w:val="nil"/>
              <w:bottom w:val="single" w:sz="4" w:space="0" w:color="auto"/>
              <w:right w:val="single" w:sz="4" w:space="0" w:color="auto"/>
            </w:tcBorders>
            <w:shd w:val="clear" w:color="auto" w:fill="auto"/>
            <w:vAlign w:val="center"/>
            <w:hideMark/>
          </w:tcPr>
          <w:p w14:paraId="6FB75EF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B2B strategies for surviving global crises: A resource dependence perspective on the COVID-19 pandemic</w:t>
            </w:r>
          </w:p>
        </w:tc>
        <w:tc>
          <w:tcPr>
            <w:tcW w:w="1080" w:type="dxa"/>
            <w:tcBorders>
              <w:top w:val="nil"/>
              <w:left w:val="nil"/>
              <w:bottom w:val="single" w:sz="4" w:space="0" w:color="auto"/>
              <w:right w:val="single" w:sz="4" w:space="0" w:color="auto"/>
            </w:tcBorders>
            <w:shd w:val="clear" w:color="auto" w:fill="auto"/>
            <w:vAlign w:val="center"/>
            <w:hideMark/>
          </w:tcPr>
          <w:p w14:paraId="68C2EEA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杨斌</w:t>
            </w:r>
          </w:p>
        </w:tc>
        <w:tc>
          <w:tcPr>
            <w:tcW w:w="1080" w:type="dxa"/>
            <w:tcBorders>
              <w:top w:val="nil"/>
              <w:left w:val="nil"/>
              <w:bottom w:val="single" w:sz="4" w:space="0" w:color="auto"/>
              <w:right w:val="single" w:sz="4" w:space="0" w:color="auto"/>
            </w:tcBorders>
            <w:shd w:val="clear" w:color="auto" w:fill="auto"/>
            <w:vAlign w:val="center"/>
            <w:hideMark/>
          </w:tcPr>
          <w:p w14:paraId="194ACDC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5C5BD0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Journal of Business Research</w:t>
            </w:r>
          </w:p>
        </w:tc>
        <w:tc>
          <w:tcPr>
            <w:tcW w:w="1080" w:type="dxa"/>
            <w:tcBorders>
              <w:top w:val="nil"/>
              <w:left w:val="nil"/>
              <w:bottom w:val="single" w:sz="4" w:space="0" w:color="auto"/>
              <w:right w:val="single" w:sz="4" w:space="0" w:color="auto"/>
            </w:tcBorders>
            <w:shd w:val="clear" w:color="auto" w:fill="auto"/>
            <w:vAlign w:val="center"/>
            <w:hideMark/>
          </w:tcPr>
          <w:p w14:paraId="6DF0F4E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2024-02-01</w:t>
            </w:r>
          </w:p>
        </w:tc>
      </w:tr>
      <w:tr w:rsidR="003715A2" w:rsidRPr="000640F6" w14:paraId="5EBFADEF"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84E904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7</w:t>
            </w:r>
          </w:p>
        </w:tc>
        <w:tc>
          <w:tcPr>
            <w:tcW w:w="3000" w:type="dxa"/>
            <w:tcBorders>
              <w:top w:val="nil"/>
              <w:left w:val="nil"/>
              <w:bottom w:val="single" w:sz="4" w:space="0" w:color="auto"/>
              <w:right w:val="single" w:sz="4" w:space="0" w:color="auto"/>
            </w:tcBorders>
            <w:shd w:val="clear" w:color="auto" w:fill="auto"/>
            <w:vAlign w:val="center"/>
            <w:hideMark/>
          </w:tcPr>
          <w:p w14:paraId="6901966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人工智能如何提升企业生产效率?——基于劳动力技能结构调整的视角</w:t>
            </w:r>
          </w:p>
        </w:tc>
        <w:tc>
          <w:tcPr>
            <w:tcW w:w="1080" w:type="dxa"/>
            <w:tcBorders>
              <w:top w:val="nil"/>
              <w:left w:val="nil"/>
              <w:bottom w:val="single" w:sz="4" w:space="0" w:color="auto"/>
              <w:right w:val="single" w:sz="4" w:space="0" w:color="auto"/>
            </w:tcBorders>
            <w:shd w:val="clear" w:color="auto" w:fill="auto"/>
            <w:vAlign w:val="center"/>
            <w:hideMark/>
          </w:tcPr>
          <w:p w14:paraId="7CF410D5" w14:textId="77777777" w:rsidR="003715A2" w:rsidRPr="000640F6" w:rsidRDefault="003715A2" w:rsidP="005754EE">
            <w:pPr>
              <w:widowControl/>
              <w:jc w:val="left"/>
              <w:rPr>
                <w:rFonts w:ascii="宋体" w:hAnsi="宋体" w:cs="宋体" w:hint="eastAsia"/>
                <w:color w:val="000000"/>
                <w:sz w:val="20"/>
              </w:rPr>
            </w:pPr>
            <w:proofErr w:type="gramStart"/>
            <w:r w:rsidRPr="000640F6">
              <w:rPr>
                <w:rFonts w:ascii="宋体" w:hAnsi="宋体" w:cs="宋体" w:hint="eastAsia"/>
                <w:color w:val="000000"/>
                <w:sz w:val="20"/>
              </w:rPr>
              <w:t>姚</w:t>
            </w:r>
            <w:proofErr w:type="gramEnd"/>
            <w:r w:rsidRPr="000640F6">
              <w:rPr>
                <w:rFonts w:ascii="宋体" w:hAnsi="宋体" w:cs="宋体" w:hint="eastAsia"/>
                <w:color w:val="000000"/>
                <w:sz w:val="20"/>
              </w:rPr>
              <w:t>加权</w:t>
            </w:r>
          </w:p>
        </w:tc>
        <w:tc>
          <w:tcPr>
            <w:tcW w:w="1080" w:type="dxa"/>
            <w:tcBorders>
              <w:top w:val="nil"/>
              <w:left w:val="nil"/>
              <w:bottom w:val="single" w:sz="4" w:space="0" w:color="auto"/>
              <w:right w:val="single" w:sz="4" w:space="0" w:color="auto"/>
            </w:tcBorders>
            <w:shd w:val="clear" w:color="auto" w:fill="auto"/>
            <w:vAlign w:val="center"/>
            <w:hideMark/>
          </w:tcPr>
          <w:p w14:paraId="3A36C1A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1AFEA5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管理世界</w:t>
            </w:r>
          </w:p>
        </w:tc>
        <w:tc>
          <w:tcPr>
            <w:tcW w:w="1080" w:type="dxa"/>
            <w:tcBorders>
              <w:top w:val="nil"/>
              <w:left w:val="nil"/>
              <w:bottom w:val="single" w:sz="4" w:space="0" w:color="auto"/>
              <w:right w:val="single" w:sz="4" w:space="0" w:color="auto"/>
            </w:tcBorders>
            <w:shd w:val="clear" w:color="auto" w:fill="auto"/>
            <w:vAlign w:val="center"/>
            <w:hideMark/>
          </w:tcPr>
          <w:p w14:paraId="34BD570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2024-02-01</w:t>
            </w:r>
          </w:p>
        </w:tc>
      </w:tr>
      <w:tr w:rsidR="003715A2" w:rsidRPr="000640F6" w14:paraId="5F0C5E77" w14:textId="77777777" w:rsidTr="005754EE">
        <w:trPr>
          <w:trHeight w:val="14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A808B3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8</w:t>
            </w:r>
          </w:p>
        </w:tc>
        <w:tc>
          <w:tcPr>
            <w:tcW w:w="3000" w:type="dxa"/>
            <w:tcBorders>
              <w:top w:val="nil"/>
              <w:left w:val="nil"/>
              <w:bottom w:val="single" w:sz="4" w:space="0" w:color="auto"/>
              <w:right w:val="single" w:sz="4" w:space="0" w:color="auto"/>
            </w:tcBorders>
            <w:shd w:val="clear" w:color="auto" w:fill="auto"/>
            <w:vAlign w:val="center"/>
            <w:hideMark/>
          </w:tcPr>
          <w:p w14:paraId="306A355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资本市场国际化的鞭策效应：A股纳入MSCI指数与企业ESG表现</w:t>
            </w:r>
          </w:p>
        </w:tc>
        <w:tc>
          <w:tcPr>
            <w:tcW w:w="1080" w:type="dxa"/>
            <w:tcBorders>
              <w:top w:val="nil"/>
              <w:left w:val="nil"/>
              <w:bottom w:val="single" w:sz="4" w:space="0" w:color="auto"/>
              <w:right w:val="single" w:sz="4" w:space="0" w:color="auto"/>
            </w:tcBorders>
            <w:shd w:val="clear" w:color="auto" w:fill="auto"/>
            <w:vAlign w:val="center"/>
            <w:hideMark/>
          </w:tcPr>
          <w:p w14:paraId="758E366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宋献中</w:t>
            </w:r>
          </w:p>
        </w:tc>
        <w:tc>
          <w:tcPr>
            <w:tcW w:w="1080" w:type="dxa"/>
            <w:tcBorders>
              <w:top w:val="nil"/>
              <w:left w:val="nil"/>
              <w:bottom w:val="single" w:sz="4" w:space="0" w:color="auto"/>
              <w:right w:val="single" w:sz="4" w:space="0" w:color="auto"/>
            </w:tcBorders>
            <w:shd w:val="clear" w:color="auto" w:fill="auto"/>
            <w:vAlign w:val="center"/>
            <w:hideMark/>
          </w:tcPr>
          <w:p w14:paraId="6BC9224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E3494C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数量经济技术经济研究</w:t>
            </w:r>
          </w:p>
        </w:tc>
        <w:tc>
          <w:tcPr>
            <w:tcW w:w="1080" w:type="dxa"/>
            <w:tcBorders>
              <w:top w:val="nil"/>
              <w:left w:val="nil"/>
              <w:bottom w:val="single" w:sz="4" w:space="0" w:color="auto"/>
              <w:right w:val="single" w:sz="4" w:space="0" w:color="auto"/>
            </w:tcBorders>
            <w:shd w:val="clear" w:color="auto" w:fill="auto"/>
            <w:vAlign w:val="center"/>
            <w:hideMark/>
          </w:tcPr>
          <w:p w14:paraId="623D26F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2024-02-26</w:t>
            </w:r>
          </w:p>
        </w:tc>
      </w:tr>
      <w:tr w:rsidR="003715A2" w:rsidRPr="000640F6" w14:paraId="07368CB7" w14:textId="77777777" w:rsidTr="005754EE">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890F6C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9</w:t>
            </w:r>
          </w:p>
        </w:tc>
        <w:tc>
          <w:tcPr>
            <w:tcW w:w="3000" w:type="dxa"/>
            <w:tcBorders>
              <w:top w:val="nil"/>
              <w:left w:val="nil"/>
              <w:bottom w:val="single" w:sz="4" w:space="0" w:color="auto"/>
              <w:right w:val="single" w:sz="4" w:space="0" w:color="auto"/>
            </w:tcBorders>
            <w:shd w:val="clear" w:color="auto" w:fill="auto"/>
            <w:vAlign w:val="center"/>
            <w:hideMark/>
          </w:tcPr>
          <w:p w14:paraId="6C586B0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ARTICLE An unintentional consequence of taxation: Tax cuts and vertical pay dispersion</w:t>
            </w:r>
          </w:p>
        </w:tc>
        <w:tc>
          <w:tcPr>
            <w:tcW w:w="1080" w:type="dxa"/>
            <w:tcBorders>
              <w:top w:val="nil"/>
              <w:left w:val="nil"/>
              <w:bottom w:val="single" w:sz="4" w:space="0" w:color="auto"/>
              <w:right w:val="single" w:sz="4" w:space="0" w:color="auto"/>
            </w:tcBorders>
            <w:shd w:val="clear" w:color="auto" w:fill="auto"/>
            <w:vAlign w:val="center"/>
            <w:hideMark/>
          </w:tcPr>
          <w:p w14:paraId="170E44C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巫岑</w:t>
            </w:r>
          </w:p>
        </w:tc>
        <w:tc>
          <w:tcPr>
            <w:tcW w:w="1080" w:type="dxa"/>
            <w:tcBorders>
              <w:top w:val="nil"/>
              <w:left w:val="nil"/>
              <w:bottom w:val="single" w:sz="4" w:space="0" w:color="auto"/>
              <w:right w:val="single" w:sz="4" w:space="0" w:color="auto"/>
            </w:tcBorders>
            <w:shd w:val="clear" w:color="auto" w:fill="auto"/>
            <w:vAlign w:val="center"/>
            <w:hideMark/>
          </w:tcPr>
          <w:p w14:paraId="1972704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649F45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Journal of Business Finance &amp; Accounting</w:t>
            </w:r>
          </w:p>
        </w:tc>
        <w:tc>
          <w:tcPr>
            <w:tcW w:w="1080" w:type="dxa"/>
            <w:tcBorders>
              <w:top w:val="nil"/>
              <w:left w:val="nil"/>
              <w:bottom w:val="single" w:sz="4" w:space="0" w:color="auto"/>
              <w:right w:val="single" w:sz="4" w:space="0" w:color="auto"/>
            </w:tcBorders>
            <w:shd w:val="clear" w:color="auto" w:fill="auto"/>
            <w:vAlign w:val="center"/>
            <w:hideMark/>
          </w:tcPr>
          <w:p w14:paraId="6E2E747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2024-03-01</w:t>
            </w:r>
          </w:p>
        </w:tc>
      </w:tr>
      <w:tr w:rsidR="003715A2" w:rsidRPr="000640F6" w14:paraId="7512C516" w14:textId="77777777" w:rsidTr="005754EE">
        <w:trPr>
          <w:trHeight w:val="28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2C104A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10</w:t>
            </w:r>
          </w:p>
        </w:tc>
        <w:tc>
          <w:tcPr>
            <w:tcW w:w="3000" w:type="dxa"/>
            <w:tcBorders>
              <w:top w:val="nil"/>
              <w:left w:val="nil"/>
              <w:bottom w:val="single" w:sz="4" w:space="0" w:color="auto"/>
              <w:right w:val="single" w:sz="4" w:space="0" w:color="auto"/>
            </w:tcBorders>
            <w:shd w:val="clear" w:color="auto" w:fill="auto"/>
            <w:vAlign w:val="center"/>
            <w:hideMark/>
          </w:tcPr>
          <w:p w14:paraId="51DC28A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Employment protection, corporate governance, and labor productivity around the World</w:t>
            </w:r>
          </w:p>
        </w:tc>
        <w:tc>
          <w:tcPr>
            <w:tcW w:w="1080" w:type="dxa"/>
            <w:tcBorders>
              <w:top w:val="nil"/>
              <w:left w:val="nil"/>
              <w:bottom w:val="single" w:sz="4" w:space="0" w:color="auto"/>
              <w:right w:val="single" w:sz="4" w:space="0" w:color="auto"/>
            </w:tcBorders>
            <w:shd w:val="clear" w:color="auto" w:fill="auto"/>
            <w:vAlign w:val="center"/>
            <w:hideMark/>
          </w:tcPr>
          <w:p w14:paraId="06113C8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巫岑</w:t>
            </w:r>
          </w:p>
        </w:tc>
        <w:tc>
          <w:tcPr>
            <w:tcW w:w="1080" w:type="dxa"/>
            <w:tcBorders>
              <w:top w:val="nil"/>
              <w:left w:val="nil"/>
              <w:bottom w:val="single" w:sz="4" w:space="0" w:color="auto"/>
              <w:right w:val="single" w:sz="4" w:space="0" w:color="auto"/>
            </w:tcBorders>
            <w:shd w:val="clear" w:color="auto" w:fill="auto"/>
            <w:vAlign w:val="center"/>
            <w:hideMark/>
          </w:tcPr>
          <w:p w14:paraId="5E4CE6E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47432B8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Journal of International Financial Markets, Institutions &amp; Money</w:t>
            </w:r>
          </w:p>
        </w:tc>
        <w:tc>
          <w:tcPr>
            <w:tcW w:w="1080" w:type="dxa"/>
            <w:tcBorders>
              <w:top w:val="nil"/>
              <w:left w:val="nil"/>
              <w:bottom w:val="single" w:sz="4" w:space="0" w:color="auto"/>
              <w:right w:val="single" w:sz="4" w:space="0" w:color="auto"/>
            </w:tcBorders>
            <w:shd w:val="clear" w:color="auto" w:fill="auto"/>
            <w:vAlign w:val="center"/>
            <w:hideMark/>
          </w:tcPr>
          <w:p w14:paraId="76E973F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2024-03-01</w:t>
            </w:r>
          </w:p>
        </w:tc>
      </w:tr>
      <w:tr w:rsidR="003715A2" w:rsidRPr="000640F6" w14:paraId="6AF29E4F"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C1FCEA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lastRenderedPageBreak/>
              <w:t>11</w:t>
            </w:r>
          </w:p>
        </w:tc>
        <w:tc>
          <w:tcPr>
            <w:tcW w:w="3000" w:type="dxa"/>
            <w:tcBorders>
              <w:top w:val="nil"/>
              <w:left w:val="nil"/>
              <w:bottom w:val="single" w:sz="4" w:space="0" w:color="auto"/>
              <w:right w:val="single" w:sz="4" w:space="0" w:color="auto"/>
            </w:tcBorders>
            <w:shd w:val="clear" w:color="auto" w:fill="auto"/>
            <w:vAlign w:val="center"/>
            <w:hideMark/>
          </w:tcPr>
          <w:p w14:paraId="1B47F20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Collateral damage: Evidence from share pledging in China</w:t>
            </w:r>
          </w:p>
        </w:tc>
        <w:tc>
          <w:tcPr>
            <w:tcW w:w="1080" w:type="dxa"/>
            <w:tcBorders>
              <w:top w:val="nil"/>
              <w:left w:val="nil"/>
              <w:bottom w:val="single" w:sz="4" w:space="0" w:color="auto"/>
              <w:right w:val="single" w:sz="4" w:space="0" w:color="auto"/>
            </w:tcBorders>
            <w:shd w:val="clear" w:color="auto" w:fill="auto"/>
            <w:vAlign w:val="center"/>
            <w:hideMark/>
          </w:tcPr>
          <w:p w14:paraId="321BC44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巫岑</w:t>
            </w:r>
          </w:p>
        </w:tc>
        <w:tc>
          <w:tcPr>
            <w:tcW w:w="1080" w:type="dxa"/>
            <w:tcBorders>
              <w:top w:val="nil"/>
              <w:left w:val="nil"/>
              <w:bottom w:val="single" w:sz="4" w:space="0" w:color="auto"/>
              <w:right w:val="single" w:sz="4" w:space="0" w:color="auto"/>
            </w:tcBorders>
            <w:shd w:val="clear" w:color="auto" w:fill="auto"/>
            <w:vAlign w:val="center"/>
            <w:hideMark/>
          </w:tcPr>
          <w:p w14:paraId="6E46200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346870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13B6E81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2024-03-01</w:t>
            </w:r>
          </w:p>
        </w:tc>
      </w:tr>
      <w:tr w:rsidR="003715A2" w:rsidRPr="000640F6" w14:paraId="7ADD0E66"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8B0226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12</w:t>
            </w:r>
          </w:p>
        </w:tc>
        <w:tc>
          <w:tcPr>
            <w:tcW w:w="3000" w:type="dxa"/>
            <w:tcBorders>
              <w:top w:val="nil"/>
              <w:left w:val="nil"/>
              <w:bottom w:val="single" w:sz="4" w:space="0" w:color="auto"/>
              <w:right w:val="single" w:sz="4" w:space="0" w:color="auto"/>
            </w:tcBorders>
            <w:shd w:val="clear" w:color="auto" w:fill="auto"/>
            <w:vAlign w:val="center"/>
            <w:hideMark/>
          </w:tcPr>
          <w:p w14:paraId="1823A97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Credit default swaps and shareholding monitoring</w:t>
            </w:r>
          </w:p>
        </w:tc>
        <w:tc>
          <w:tcPr>
            <w:tcW w:w="1080" w:type="dxa"/>
            <w:tcBorders>
              <w:top w:val="nil"/>
              <w:left w:val="nil"/>
              <w:bottom w:val="single" w:sz="4" w:space="0" w:color="auto"/>
              <w:right w:val="single" w:sz="4" w:space="0" w:color="auto"/>
            </w:tcBorders>
            <w:shd w:val="clear" w:color="auto" w:fill="auto"/>
            <w:vAlign w:val="center"/>
            <w:hideMark/>
          </w:tcPr>
          <w:p w14:paraId="2B285BE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司方博</w:t>
            </w:r>
          </w:p>
        </w:tc>
        <w:tc>
          <w:tcPr>
            <w:tcW w:w="1080" w:type="dxa"/>
            <w:tcBorders>
              <w:top w:val="nil"/>
              <w:left w:val="nil"/>
              <w:bottom w:val="single" w:sz="4" w:space="0" w:color="auto"/>
              <w:right w:val="single" w:sz="4" w:space="0" w:color="auto"/>
            </w:tcBorders>
            <w:shd w:val="clear" w:color="auto" w:fill="auto"/>
            <w:vAlign w:val="center"/>
            <w:hideMark/>
          </w:tcPr>
          <w:p w14:paraId="465A461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03FE1C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7DC49D8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2024-03-06</w:t>
            </w:r>
          </w:p>
        </w:tc>
      </w:tr>
      <w:tr w:rsidR="003715A2" w:rsidRPr="000640F6" w14:paraId="7440AD2A" w14:textId="77777777" w:rsidTr="005754EE">
        <w:trPr>
          <w:trHeight w:val="26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D7E59B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13</w:t>
            </w:r>
          </w:p>
        </w:tc>
        <w:tc>
          <w:tcPr>
            <w:tcW w:w="3000" w:type="dxa"/>
            <w:tcBorders>
              <w:top w:val="nil"/>
              <w:left w:val="nil"/>
              <w:bottom w:val="single" w:sz="4" w:space="0" w:color="auto"/>
              <w:right w:val="single" w:sz="4" w:space="0" w:color="auto"/>
            </w:tcBorders>
            <w:shd w:val="clear" w:color="auto" w:fill="auto"/>
            <w:vAlign w:val="center"/>
            <w:hideMark/>
          </w:tcPr>
          <w:p w14:paraId="4344824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Pain or gain? The effects of transportation infrastructure on labor costs in China</w:t>
            </w:r>
          </w:p>
        </w:tc>
        <w:tc>
          <w:tcPr>
            <w:tcW w:w="1080" w:type="dxa"/>
            <w:tcBorders>
              <w:top w:val="nil"/>
              <w:left w:val="nil"/>
              <w:bottom w:val="single" w:sz="4" w:space="0" w:color="auto"/>
              <w:right w:val="single" w:sz="4" w:space="0" w:color="auto"/>
            </w:tcBorders>
            <w:shd w:val="clear" w:color="auto" w:fill="auto"/>
            <w:vAlign w:val="center"/>
            <w:hideMark/>
          </w:tcPr>
          <w:p w14:paraId="364755A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窦欢</w:t>
            </w:r>
          </w:p>
        </w:tc>
        <w:tc>
          <w:tcPr>
            <w:tcW w:w="1080" w:type="dxa"/>
            <w:tcBorders>
              <w:top w:val="nil"/>
              <w:left w:val="nil"/>
              <w:bottom w:val="single" w:sz="4" w:space="0" w:color="auto"/>
              <w:right w:val="single" w:sz="4" w:space="0" w:color="auto"/>
            </w:tcBorders>
            <w:shd w:val="clear" w:color="auto" w:fill="auto"/>
            <w:vAlign w:val="center"/>
            <w:hideMark/>
          </w:tcPr>
          <w:p w14:paraId="69ADE2C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4EE1B07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International Review of Economics &amp; Finance</w:t>
            </w:r>
          </w:p>
        </w:tc>
        <w:tc>
          <w:tcPr>
            <w:tcW w:w="1080" w:type="dxa"/>
            <w:tcBorders>
              <w:top w:val="nil"/>
              <w:left w:val="nil"/>
              <w:bottom w:val="single" w:sz="4" w:space="0" w:color="auto"/>
              <w:right w:val="single" w:sz="4" w:space="0" w:color="auto"/>
            </w:tcBorders>
            <w:shd w:val="clear" w:color="auto" w:fill="auto"/>
            <w:vAlign w:val="center"/>
            <w:hideMark/>
          </w:tcPr>
          <w:p w14:paraId="433C1D6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2024-03-15</w:t>
            </w:r>
          </w:p>
        </w:tc>
      </w:tr>
      <w:tr w:rsidR="003715A2" w:rsidRPr="000640F6" w14:paraId="42DB8829" w14:textId="77777777" w:rsidTr="005754EE">
        <w:trPr>
          <w:trHeight w:val="38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0401FA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14</w:t>
            </w:r>
          </w:p>
        </w:tc>
        <w:tc>
          <w:tcPr>
            <w:tcW w:w="3000" w:type="dxa"/>
            <w:tcBorders>
              <w:top w:val="nil"/>
              <w:left w:val="nil"/>
              <w:bottom w:val="single" w:sz="4" w:space="0" w:color="auto"/>
              <w:right w:val="single" w:sz="4" w:space="0" w:color="auto"/>
            </w:tcBorders>
            <w:shd w:val="clear" w:color="auto" w:fill="auto"/>
            <w:vAlign w:val="center"/>
            <w:hideMark/>
          </w:tcPr>
          <w:p w14:paraId="670B9CE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Corporate social responsibility and firm-level systematic risk: The moderating effect of economic policy uncertainty</w:t>
            </w:r>
          </w:p>
        </w:tc>
        <w:tc>
          <w:tcPr>
            <w:tcW w:w="1080" w:type="dxa"/>
            <w:tcBorders>
              <w:top w:val="nil"/>
              <w:left w:val="nil"/>
              <w:bottom w:val="single" w:sz="4" w:space="0" w:color="auto"/>
              <w:right w:val="single" w:sz="4" w:space="0" w:color="auto"/>
            </w:tcBorders>
            <w:shd w:val="clear" w:color="auto" w:fill="auto"/>
            <w:vAlign w:val="center"/>
            <w:hideMark/>
          </w:tcPr>
          <w:p w14:paraId="438EB27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54615EB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367A6F8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International Review of Financial Analysis</w:t>
            </w:r>
          </w:p>
        </w:tc>
        <w:tc>
          <w:tcPr>
            <w:tcW w:w="1080" w:type="dxa"/>
            <w:tcBorders>
              <w:top w:val="nil"/>
              <w:left w:val="nil"/>
              <w:bottom w:val="single" w:sz="4" w:space="0" w:color="auto"/>
              <w:right w:val="single" w:sz="4" w:space="0" w:color="auto"/>
            </w:tcBorders>
            <w:shd w:val="clear" w:color="auto" w:fill="auto"/>
            <w:vAlign w:val="center"/>
            <w:hideMark/>
          </w:tcPr>
          <w:p w14:paraId="1214CBC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2024-03-19</w:t>
            </w:r>
          </w:p>
        </w:tc>
      </w:tr>
      <w:tr w:rsidR="003715A2" w:rsidRPr="000640F6" w14:paraId="2378D40D" w14:textId="77777777" w:rsidTr="005754EE">
        <w:trPr>
          <w:trHeight w:val="19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B035D1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15</w:t>
            </w:r>
          </w:p>
        </w:tc>
        <w:tc>
          <w:tcPr>
            <w:tcW w:w="3000" w:type="dxa"/>
            <w:tcBorders>
              <w:top w:val="nil"/>
              <w:left w:val="nil"/>
              <w:bottom w:val="single" w:sz="4" w:space="0" w:color="auto"/>
              <w:right w:val="single" w:sz="4" w:space="0" w:color="auto"/>
            </w:tcBorders>
            <w:shd w:val="clear" w:color="auto" w:fill="auto"/>
            <w:vAlign w:val="center"/>
            <w:hideMark/>
          </w:tcPr>
          <w:p w14:paraId="4B163CA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Superstition, Risk Aversion, and Audit Quality: Evidence from China</w:t>
            </w:r>
          </w:p>
        </w:tc>
        <w:tc>
          <w:tcPr>
            <w:tcW w:w="1080" w:type="dxa"/>
            <w:tcBorders>
              <w:top w:val="nil"/>
              <w:left w:val="nil"/>
              <w:bottom w:val="single" w:sz="4" w:space="0" w:color="auto"/>
              <w:right w:val="single" w:sz="4" w:space="0" w:color="auto"/>
            </w:tcBorders>
            <w:shd w:val="clear" w:color="auto" w:fill="auto"/>
            <w:vAlign w:val="center"/>
            <w:hideMark/>
          </w:tcPr>
          <w:p w14:paraId="2F21A6A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窦欢</w:t>
            </w:r>
          </w:p>
        </w:tc>
        <w:tc>
          <w:tcPr>
            <w:tcW w:w="1080" w:type="dxa"/>
            <w:tcBorders>
              <w:top w:val="nil"/>
              <w:left w:val="nil"/>
              <w:bottom w:val="single" w:sz="4" w:space="0" w:color="auto"/>
              <w:right w:val="single" w:sz="4" w:space="0" w:color="auto"/>
            </w:tcBorders>
            <w:shd w:val="clear" w:color="auto" w:fill="auto"/>
            <w:vAlign w:val="center"/>
            <w:hideMark/>
          </w:tcPr>
          <w:p w14:paraId="390392F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92AB57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AUDITING: A Journal of Practice &amp; Theory</w:t>
            </w:r>
          </w:p>
        </w:tc>
        <w:tc>
          <w:tcPr>
            <w:tcW w:w="1080" w:type="dxa"/>
            <w:tcBorders>
              <w:top w:val="nil"/>
              <w:left w:val="nil"/>
              <w:bottom w:val="single" w:sz="4" w:space="0" w:color="auto"/>
              <w:right w:val="single" w:sz="4" w:space="0" w:color="auto"/>
            </w:tcBorders>
            <w:shd w:val="clear" w:color="auto" w:fill="auto"/>
            <w:vAlign w:val="center"/>
            <w:hideMark/>
          </w:tcPr>
          <w:p w14:paraId="5680BA5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2024-03-22</w:t>
            </w:r>
          </w:p>
        </w:tc>
      </w:tr>
      <w:tr w:rsidR="003715A2" w:rsidRPr="000640F6" w14:paraId="2DE0D8C3"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D6BBEA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16</w:t>
            </w:r>
          </w:p>
        </w:tc>
        <w:tc>
          <w:tcPr>
            <w:tcW w:w="3000" w:type="dxa"/>
            <w:tcBorders>
              <w:top w:val="nil"/>
              <w:left w:val="nil"/>
              <w:bottom w:val="single" w:sz="4" w:space="0" w:color="auto"/>
              <w:right w:val="single" w:sz="4" w:space="0" w:color="auto"/>
            </w:tcBorders>
            <w:shd w:val="clear" w:color="auto" w:fill="auto"/>
            <w:vAlign w:val="center"/>
            <w:hideMark/>
          </w:tcPr>
          <w:p w14:paraId="597DF4E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Rational herding: evidence from equity crowdfunding</w:t>
            </w:r>
          </w:p>
        </w:tc>
        <w:tc>
          <w:tcPr>
            <w:tcW w:w="1080" w:type="dxa"/>
            <w:tcBorders>
              <w:top w:val="nil"/>
              <w:left w:val="nil"/>
              <w:bottom w:val="single" w:sz="4" w:space="0" w:color="auto"/>
              <w:right w:val="single" w:sz="4" w:space="0" w:color="auto"/>
            </w:tcBorders>
            <w:shd w:val="clear" w:color="auto" w:fill="auto"/>
            <w:vAlign w:val="center"/>
            <w:hideMark/>
          </w:tcPr>
          <w:p w14:paraId="5028C22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易兰</w:t>
            </w:r>
          </w:p>
        </w:tc>
        <w:tc>
          <w:tcPr>
            <w:tcW w:w="1080" w:type="dxa"/>
            <w:tcBorders>
              <w:top w:val="nil"/>
              <w:left w:val="nil"/>
              <w:bottom w:val="single" w:sz="4" w:space="0" w:color="auto"/>
              <w:right w:val="single" w:sz="4" w:space="0" w:color="auto"/>
            </w:tcBorders>
            <w:shd w:val="clear" w:color="auto" w:fill="auto"/>
            <w:vAlign w:val="center"/>
            <w:hideMark/>
          </w:tcPr>
          <w:p w14:paraId="46ACCDD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E60DCF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MANAGEMENT DECISION</w:t>
            </w:r>
          </w:p>
        </w:tc>
        <w:tc>
          <w:tcPr>
            <w:tcW w:w="1080" w:type="dxa"/>
            <w:tcBorders>
              <w:top w:val="nil"/>
              <w:left w:val="nil"/>
              <w:bottom w:val="single" w:sz="4" w:space="0" w:color="auto"/>
              <w:right w:val="single" w:sz="4" w:space="0" w:color="auto"/>
            </w:tcBorders>
            <w:shd w:val="clear" w:color="auto" w:fill="auto"/>
            <w:vAlign w:val="center"/>
            <w:hideMark/>
          </w:tcPr>
          <w:p w14:paraId="1509A3E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2024-03-28</w:t>
            </w:r>
          </w:p>
        </w:tc>
      </w:tr>
      <w:tr w:rsidR="003715A2" w:rsidRPr="000640F6" w14:paraId="4E8034F0"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5E88B8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lastRenderedPageBreak/>
              <w:t>17</w:t>
            </w:r>
          </w:p>
        </w:tc>
        <w:tc>
          <w:tcPr>
            <w:tcW w:w="3000" w:type="dxa"/>
            <w:tcBorders>
              <w:top w:val="nil"/>
              <w:left w:val="nil"/>
              <w:bottom w:val="single" w:sz="4" w:space="0" w:color="auto"/>
              <w:right w:val="single" w:sz="4" w:space="0" w:color="auto"/>
            </w:tcBorders>
            <w:shd w:val="clear" w:color="auto" w:fill="auto"/>
            <w:vAlign w:val="center"/>
            <w:hideMark/>
          </w:tcPr>
          <w:p w14:paraId="653CA57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 xml:space="preserve">人口老龄化与企业社会责任表现——基于中国A股上市公司的实证研究 </w:t>
            </w:r>
          </w:p>
        </w:tc>
        <w:tc>
          <w:tcPr>
            <w:tcW w:w="1080" w:type="dxa"/>
            <w:tcBorders>
              <w:top w:val="nil"/>
              <w:left w:val="nil"/>
              <w:bottom w:val="single" w:sz="4" w:space="0" w:color="auto"/>
              <w:right w:val="single" w:sz="4" w:space="0" w:color="auto"/>
            </w:tcBorders>
            <w:shd w:val="clear" w:color="auto" w:fill="auto"/>
            <w:vAlign w:val="center"/>
            <w:hideMark/>
          </w:tcPr>
          <w:p w14:paraId="62A4724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齐珺</w:t>
            </w:r>
          </w:p>
        </w:tc>
        <w:tc>
          <w:tcPr>
            <w:tcW w:w="1080" w:type="dxa"/>
            <w:tcBorders>
              <w:top w:val="nil"/>
              <w:left w:val="nil"/>
              <w:bottom w:val="single" w:sz="4" w:space="0" w:color="auto"/>
              <w:right w:val="single" w:sz="4" w:space="0" w:color="auto"/>
            </w:tcBorders>
            <w:shd w:val="clear" w:color="auto" w:fill="auto"/>
            <w:vAlign w:val="center"/>
            <w:hideMark/>
          </w:tcPr>
          <w:p w14:paraId="59C1533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8A2C9C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暨南学报</w:t>
            </w:r>
          </w:p>
        </w:tc>
        <w:tc>
          <w:tcPr>
            <w:tcW w:w="1080" w:type="dxa"/>
            <w:tcBorders>
              <w:top w:val="nil"/>
              <w:left w:val="nil"/>
              <w:bottom w:val="single" w:sz="4" w:space="0" w:color="auto"/>
              <w:right w:val="single" w:sz="4" w:space="0" w:color="auto"/>
            </w:tcBorders>
            <w:shd w:val="clear" w:color="auto" w:fill="auto"/>
            <w:vAlign w:val="center"/>
            <w:hideMark/>
          </w:tcPr>
          <w:p w14:paraId="4825001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2024-04-02</w:t>
            </w:r>
          </w:p>
        </w:tc>
      </w:tr>
      <w:tr w:rsidR="003715A2" w:rsidRPr="000640F6" w14:paraId="02D85741" w14:textId="77777777" w:rsidTr="005754EE">
        <w:trPr>
          <w:trHeight w:val="14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77BADD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18</w:t>
            </w:r>
          </w:p>
        </w:tc>
        <w:tc>
          <w:tcPr>
            <w:tcW w:w="3000" w:type="dxa"/>
            <w:tcBorders>
              <w:top w:val="nil"/>
              <w:left w:val="nil"/>
              <w:bottom w:val="single" w:sz="4" w:space="0" w:color="auto"/>
              <w:right w:val="single" w:sz="4" w:space="0" w:color="auto"/>
            </w:tcBorders>
            <w:shd w:val="clear" w:color="auto" w:fill="auto"/>
            <w:vAlign w:val="center"/>
            <w:hideMark/>
          </w:tcPr>
          <w:p w14:paraId="4EC8ABA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高管宏观认知与管理</w:t>
            </w:r>
            <w:proofErr w:type="gramStart"/>
            <w:r w:rsidRPr="000640F6">
              <w:rPr>
                <w:rFonts w:ascii="宋体" w:hAnsi="宋体" w:cs="宋体" w:hint="eastAsia"/>
                <w:color w:val="000000"/>
                <w:sz w:val="20"/>
              </w:rPr>
              <w:t>层预测</w:t>
            </w:r>
            <w:proofErr w:type="gramEnd"/>
            <w:r w:rsidRPr="000640F6">
              <w:rPr>
                <w:rFonts w:ascii="宋体" w:hAnsi="宋体" w:cs="宋体" w:hint="eastAsia"/>
                <w:color w:val="000000"/>
                <w:sz w:val="20"/>
              </w:rPr>
              <w:t>——基于MD&amp;A文本信息的经验证据</w:t>
            </w:r>
          </w:p>
        </w:tc>
        <w:tc>
          <w:tcPr>
            <w:tcW w:w="1080" w:type="dxa"/>
            <w:tcBorders>
              <w:top w:val="nil"/>
              <w:left w:val="nil"/>
              <w:bottom w:val="single" w:sz="4" w:space="0" w:color="auto"/>
              <w:right w:val="single" w:sz="4" w:space="0" w:color="auto"/>
            </w:tcBorders>
            <w:shd w:val="clear" w:color="auto" w:fill="auto"/>
            <w:vAlign w:val="center"/>
            <w:hideMark/>
          </w:tcPr>
          <w:p w14:paraId="036D24D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饶品贵</w:t>
            </w:r>
          </w:p>
        </w:tc>
        <w:tc>
          <w:tcPr>
            <w:tcW w:w="1080" w:type="dxa"/>
            <w:tcBorders>
              <w:top w:val="nil"/>
              <w:left w:val="nil"/>
              <w:bottom w:val="single" w:sz="4" w:space="0" w:color="auto"/>
              <w:right w:val="single" w:sz="4" w:space="0" w:color="auto"/>
            </w:tcBorders>
            <w:shd w:val="clear" w:color="auto" w:fill="auto"/>
            <w:vAlign w:val="center"/>
            <w:hideMark/>
          </w:tcPr>
          <w:p w14:paraId="0D2C294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723826F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南开管理评论</w:t>
            </w:r>
          </w:p>
        </w:tc>
        <w:tc>
          <w:tcPr>
            <w:tcW w:w="1080" w:type="dxa"/>
            <w:tcBorders>
              <w:top w:val="nil"/>
              <w:left w:val="nil"/>
              <w:bottom w:val="single" w:sz="4" w:space="0" w:color="auto"/>
              <w:right w:val="single" w:sz="4" w:space="0" w:color="auto"/>
            </w:tcBorders>
            <w:shd w:val="clear" w:color="auto" w:fill="auto"/>
            <w:vAlign w:val="center"/>
            <w:hideMark/>
          </w:tcPr>
          <w:p w14:paraId="6F3C997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2024-04-10</w:t>
            </w:r>
          </w:p>
        </w:tc>
      </w:tr>
      <w:tr w:rsidR="003715A2" w:rsidRPr="000640F6" w14:paraId="3B5343A2" w14:textId="77777777" w:rsidTr="005754E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098172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19</w:t>
            </w:r>
          </w:p>
        </w:tc>
        <w:tc>
          <w:tcPr>
            <w:tcW w:w="3000" w:type="dxa"/>
            <w:tcBorders>
              <w:top w:val="nil"/>
              <w:left w:val="nil"/>
              <w:bottom w:val="single" w:sz="4" w:space="0" w:color="auto"/>
              <w:right w:val="single" w:sz="4" w:space="0" w:color="auto"/>
            </w:tcBorders>
            <w:shd w:val="clear" w:color="auto" w:fill="auto"/>
            <w:vAlign w:val="center"/>
            <w:hideMark/>
          </w:tcPr>
          <w:p w14:paraId="25BE0CE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The geography of environmental regulation: Plant-level emissions data</w:t>
            </w:r>
          </w:p>
        </w:tc>
        <w:tc>
          <w:tcPr>
            <w:tcW w:w="1080" w:type="dxa"/>
            <w:tcBorders>
              <w:top w:val="nil"/>
              <w:left w:val="nil"/>
              <w:bottom w:val="single" w:sz="4" w:space="0" w:color="auto"/>
              <w:right w:val="single" w:sz="4" w:space="0" w:color="auto"/>
            </w:tcBorders>
            <w:shd w:val="clear" w:color="auto" w:fill="auto"/>
            <w:vAlign w:val="center"/>
            <w:hideMark/>
          </w:tcPr>
          <w:p w14:paraId="070154C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赵阳</w:t>
            </w:r>
          </w:p>
        </w:tc>
        <w:tc>
          <w:tcPr>
            <w:tcW w:w="1080" w:type="dxa"/>
            <w:tcBorders>
              <w:top w:val="nil"/>
              <w:left w:val="nil"/>
              <w:bottom w:val="single" w:sz="4" w:space="0" w:color="auto"/>
              <w:right w:val="single" w:sz="4" w:space="0" w:color="auto"/>
            </w:tcBorders>
            <w:shd w:val="clear" w:color="auto" w:fill="auto"/>
            <w:vAlign w:val="center"/>
            <w:hideMark/>
          </w:tcPr>
          <w:p w14:paraId="591D465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320ED8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The British Accounting Review</w:t>
            </w:r>
          </w:p>
        </w:tc>
        <w:tc>
          <w:tcPr>
            <w:tcW w:w="1080" w:type="dxa"/>
            <w:tcBorders>
              <w:top w:val="nil"/>
              <w:left w:val="nil"/>
              <w:bottom w:val="single" w:sz="4" w:space="0" w:color="auto"/>
              <w:right w:val="single" w:sz="4" w:space="0" w:color="auto"/>
            </w:tcBorders>
            <w:shd w:val="clear" w:color="auto" w:fill="auto"/>
            <w:vAlign w:val="center"/>
            <w:hideMark/>
          </w:tcPr>
          <w:p w14:paraId="3144E6B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2024-04-13</w:t>
            </w:r>
          </w:p>
        </w:tc>
      </w:tr>
      <w:tr w:rsidR="003715A2" w:rsidRPr="000640F6" w14:paraId="32188B9F" w14:textId="77777777" w:rsidTr="005754E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456793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w:t>
            </w:r>
          </w:p>
        </w:tc>
        <w:tc>
          <w:tcPr>
            <w:tcW w:w="3000" w:type="dxa"/>
            <w:tcBorders>
              <w:top w:val="nil"/>
              <w:left w:val="nil"/>
              <w:bottom w:val="single" w:sz="4" w:space="0" w:color="auto"/>
              <w:right w:val="single" w:sz="4" w:space="0" w:color="auto"/>
            </w:tcBorders>
            <w:shd w:val="clear" w:color="auto" w:fill="auto"/>
            <w:vAlign w:val="center"/>
            <w:hideMark/>
          </w:tcPr>
          <w:p w14:paraId="0474106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高管薪酬追回与上市公司违规</w:t>
            </w:r>
          </w:p>
        </w:tc>
        <w:tc>
          <w:tcPr>
            <w:tcW w:w="1080" w:type="dxa"/>
            <w:tcBorders>
              <w:top w:val="nil"/>
              <w:left w:val="nil"/>
              <w:bottom w:val="single" w:sz="4" w:space="0" w:color="auto"/>
              <w:right w:val="single" w:sz="4" w:space="0" w:color="auto"/>
            </w:tcBorders>
            <w:shd w:val="clear" w:color="auto" w:fill="auto"/>
            <w:vAlign w:val="center"/>
            <w:hideMark/>
          </w:tcPr>
          <w:p w14:paraId="73A579A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周瑞雪</w:t>
            </w:r>
          </w:p>
        </w:tc>
        <w:tc>
          <w:tcPr>
            <w:tcW w:w="1080" w:type="dxa"/>
            <w:tcBorders>
              <w:top w:val="nil"/>
              <w:left w:val="nil"/>
              <w:bottom w:val="single" w:sz="4" w:space="0" w:color="auto"/>
              <w:right w:val="single" w:sz="4" w:space="0" w:color="auto"/>
            </w:tcBorders>
            <w:shd w:val="clear" w:color="auto" w:fill="auto"/>
            <w:vAlign w:val="center"/>
            <w:hideMark/>
          </w:tcPr>
          <w:p w14:paraId="2E391E1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045109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会计研究</w:t>
            </w:r>
          </w:p>
        </w:tc>
        <w:tc>
          <w:tcPr>
            <w:tcW w:w="1080" w:type="dxa"/>
            <w:tcBorders>
              <w:top w:val="nil"/>
              <w:left w:val="nil"/>
              <w:bottom w:val="single" w:sz="4" w:space="0" w:color="auto"/>
              <w:right w:val="single" w:sz="4" w:space="0" w:color="auto"/>
            </w:tcBorders>
            <w:shd w:val="clear" w:color="auto" w:fill="auto"/>
            <w:vAlign w:val="center"/>
            <w:hideMark/>
          </w:tcPr>
          <w:p w14:paraId="5499F9F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2024-04-15</w:t>
            </w:r>
          </w:p>
        </w:tc>
      </w:tr>
      <w:tr w:rsidR="003715A2" w:rsidRPr="000640F6" w14:paraId="5FCA017A" w14:textId="77777777" w:rsidTr="005754EE">
        <w:trPr>
          <w:trHeight w:val="21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2B1206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21</w:t>
            </w:r>
          </w:p>
        </w:tc>
        <w:tc>
          <w:tcPr>
            <w:tcW w:w="3000" w:type="dxa"/>
            <w:tcBorders>
              <w:top w:val="nil"/>
              <w:left w:val="nil"/>
              <w:bottom w:val="single" w:sz="4" w:space="0" w:color="auto"/>
              <w:right w:val="single" w:sz="4" w:space="0" w:color="auto"/>
            </w:tcBorders>
            <w:shd w:val="clear" w:color="auto" w:fill="auto"/>
            <w:vAlign w:val="center"/>
            <w:hideMark/>
          </w:tcPr>
          <w:p w14:paraId="103456B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全产业链布局会提高企业创新产出吗？</w:t>
            </w:r>
          </w:p>
        </w:tc>
        <w:tc>
          <w:tcPr>
            <w:tcW w:w="1080" w:type="dxa"/>
            <w:tcBorders>
              <w:top w:val="nil"/>
              <w:left w:val="nil"/>
              <w:bottom w:val="single" w:sz="4" w:space="0" w:color="auto"/>
              <w:right w:val="single" w:sz="4" w:space="0" w:color="auto"/>
            </w:tcBorders>
            <w:shd w:val="clear" w:color="auto" w:fill="auto"/>
            <w:vAlign w:val="center"/>
            <w:hideMark/>
          </w:tcPr>
          <w:p w14:paraId="42EED7A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杨德明</w:t>
            </w:r>
          </w:p>
        </w:tc>
        <w:tc>
          <w:tcPr>
            <w:tcW w:w="1080" w:type="dxa"/>
            <w:tcBorders>
              <w:top w:val="nil"/>
              <w:left w:val="nil"/>
              <w:bottom w:val="single" w:sz="4" w:space="0" w:color="auto"/>
              <w:right w:val="single" w:sz="4" w:space="0" w:color="auto"/>
            </w:tcBorders>
            <w:shd w:val="clear" w:color="auto" w:fill="auto"/>
            <w:vAlign w:val="center"/>
            <w:hideMark/>
          </w:tcPr>
          <w:p w14:paraId="5FD5396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208F72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经济管理</w:t>
            </w:r>
          </w:p>
        </w:tc>
        <w:tc>
          <w:tcPr>
            <w:tcW w:w="1080" w:type="dxa"/>
            <w:tcBorders>
              <w:top w:val="nil"/>
              <w:left w:val="nil"/>
              <w:bottom w:val="single" w:sz="4" w:space="0" w:color="auto"/>
              <w:right w:val="single" w:sz="4" w:space="0" w:color="auto"/>
            </w:tcBorders>
            <w:shd w:val="clear" w:color="auto" w:fill="auto"/>
            <w:vAlign w:val="center"/>
            <w:hideMark/>
          </w:tcPr>
          <w:p w14:paraId="7CFF0E0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2024-04-16</w:t>
            </w:r>
          </w:p>
        </w:tc>
      </w:tr>
      <w:tr w:rsidR="003715A2" w:rsidRPr="000640F6" w14:paraId="58A2CE5F"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A7848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22</w:t>
            </w:r>
          </w:p>
        </w:tc>
        <w:tc>
          <w:tcPr>
            <w:tcW w:w="3000" w:type="dxa"/>
            <w:tcBorders>
              <w:top w:val="nil"/>
              <w:left w:val="nil"/>
              <w:bottom w:val="single" w:sz="4" w:space="0" w:color="auto"/>
              <w:right w:val="single" w:sz="4" w:space="0" w:color="auto"/>
            </w:tcBorders>
            <w:shd w:val="clear" w:color="auto" w:fill="auto"/>
            <w:vAlign w:val="center"/>
            <w:hideMark/>
          </w:tcPr>
          <w:p w14:paraId="2C95104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技术转移与企业高质量创新</w:t>
            </w:r>
          </w:p>
        </w:tc>
        <w:tc>
          <w:tcPr>
            <w:tcW w:w="1080" w:type="dxa"/>
            <w:tcBorders>
              <w:top w:val="nil"/>
              <w:left w:val="nil"/>
              <w:bottom w:val="single" w:sz="4" w:space="0" w:color="auto"/>
              <w:right w:val="single" w:sz="4" w:space="0" w:color="auto"/>
            </w:tcBorders>
            <w:shd w:val="clear" w:color="auto" w:fill="auto"/>
            <w:vAlign w:val="center"/>
            <w:hideMark/>
          </w:tcPr>
          <w:p w14:paraId="6D9D713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黎文靖</w:t>
            </w:r>
          </w:p>
        </w:tc>
        <w:tc>
          <w:tcPr>
            <w:tcW w:w="1080" w:type="dxa"/>
            <w:tcBorders>
              <w:top w:val="nil"/>
              <w:left w:val="nil"/>
              <w:bottom w:val="single" w:sz="4" w:space="0" w:color="auto"/>
              <w:right w:val="single" w:sz="4" w:space="0" w:color="auto"/>
            </w:tcBorders>
            <w:shd w:val="clear" w:color="auto" w:fill="auto"/>
            <w:vAlign w:val="center"/>
            <w:hideMark/>
          </w:tcPr>
          <w:p w14:paraId="4C0C4E0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F1930B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世界经济</w:t>
            </w:r>
          </w:p>
        </w:tc>
        <w:tc>
          <w:tcPr>
            <w:tcW w:w="1080" w:type="dxa"/>
            <w:tcBorders>
              <w:top w:val="nil"/>
              <w:left w:val="nil"/>
              <w:bottom w:val="single" w:sz="4" w:space="0" w:color="auto"/>
              <w:right w:val="single" w:sz="4" w:space="0" w:color="auto"/>
            </w:tcBorders>
            <w:shd w:val="clear" w:color="auto" w:fill="auto"/>
            <w:vAlign w:val="center"/>
            <w:hideMark/>
          </w:tcPr>
          <w:p w14:paraId="546F9B3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2024-04-17</w:t>
            </w:r>
          </w:p>
        </w:tc>
      </w:tr>
      <w:tr w:rsidR="003715A2" w:rsidRPr="000640F6" w14:paraId="088A15F0"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8D3E53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23</w:t>
            </w:r>
          </w:p>
        </w:tc>
        <w:tc>
          <w:tcPr>
            <w:tcW w:w="3000" w:type="dxa"/>
            <w:tcBorders>
              <w:top w:val="nil"/>
              <w:left w:val="nil"/>
              <w:bottom w:val="single" w:sz="4" w:space="0" w:color="auto"/>
              <w:right w:val="single" w:sz="4" w:space="0" w:color="auto"/>
            </w:tcBorders>
            <w:shd w:val="clear" w:color="auto" w:fill="auto"/>
            <w:vAlign w:val="center"/>
            <w:hideMark/>
          </w:tcPr>
          <w:p w14:paraId="740DF6A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技术转移与企业高质量创新</w:t>
            </w:r>
          </w:p>
        </w:tc>
        <w:tc>
          <w:tcPr>
            <w:tcW w:w="1080" w:type="dxa"/>
            <w:tcBorders>
              <w:top w:val="nil"/>
              <w:left w:val="nil"/>
              <w:bottom w:val="single" w:sz="4" w:space="0" w:color="auto"/>
              <w:right w:val="single" w:sz="4" w:space="0" w:color="auto"/>
            </w:tcBorders>
            <w:shd w:val="clear" w:color="auto" w:fill="auto"/>
            <w:vAlign w:val="center"/>
            <w:hideMark/>
          </w:tcPr>
          <w:p w14:paraId="56BC460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谭有超</w:t>
            </w:r>
          </w:p>
        </w:tc>
        <w:tc>
          <w:tcPr>
            <w:tcW w:w="1080" w:type="dxa"/>
            <w:tcBorders>
              <w:top w:val="nil"/>
              <w:left w:val="nil"/>
              <w:bottom w:val="single" w:sz="4" w:space="0" w:color="auto"/>
              <w:right w:val="single" w:sz="4" w:space="0" w:color="auto"/>
            </w:tcBorders>
            <w:shd w:val="clear" w:color="auto" w:fill="auto"/>
            <w:vAlign w:val="center"/>
            <w:hideMark/>
          </w:tcPr>
          <w:p w14:paraId="0FD6460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A49D7E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世界经济</w:t>
            </w:r>
          </w:p>
        </w:tc>
        <w:tc>
          <w:tcPr>
            <w:tcW w:w="1080" w:type="dxa"/>
            <w:tcBorders>
              <w:top w:val="nil"/>
              <w:left w:val="nil"/>
              <w:bottom w:val="single" w:sz="4" w:space="0" w:color="auto"/>
              <w:right w:val="single" w:sz="4" w:space="0" w:color="auto"/>
            </w:tcBorders>
            <w:shd w:val="clear" w:color="auto" w:fill="auto"/>
            <w:vAlign w:val="center"/>
            <w:hideMark/>
          </w:tcPr>
          <w:p w14:paraId="6DEBC24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2024-04-17</w:t>
            </w:r>
          </w:p>
        </w:tc>
      </w:tr>
      <w:tr w:rsidR="003715A2" w:rsidRPr="000640F6" w14:paraId="6D8F7EDF" w14:textId="77777777" w:rsidTr="005754EE">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478455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24</w:t>
            </w:r>
          </w:p>
        </w:tc>
        <w:tc>
          <w:tcPr>
            <w:tcW w:w="3000" w:type="dxa"/>
            <w:tcBorders>
              <w:top w:val="nil"/>
              <w:left w:val="nil"/>
              <w:bottom w:val="single" w:sz="4" w:space="0" w:color="auto"/>
              <w:right w:val="single" w:sz="4" w:space="0" w:color="auto"/>
            </w:tcBorders>
            <w:shd w:val="clear" w:color="auto" w:fill="auto"/>
            <w:vAlign w:val="center"/>
            <w:hideMark/>
          </w:tcPr>
          <w:p w14:paraId="050A154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Politically affiliated analysts</w:t>
            </w:r>
          </w:p>
        </w:tc>
        <w:tc>
          <w:tcPr>
            <w:tcW w:w="1080" w:type="dxa"/>
            <w:tcBorders>
              <w:top w:val="nil"/>
              <w:left w:val="nil"/>
              <w:bottom w:val="single" w:sz="4" w:space="0" w:color="auto"/>
              <w:right w:val="single" w:sz="4" w:space="0" w:color="auto"/>
            </w:tcBorders>
            <w:shd w:val="clear" w:color="auto" w:fill="auto"/>
            <w:vAlign w:val="center"/>
            <w:hideMark/>
          </w:tcPr>
          <w:p w14:paraId="6EDFB88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17B734E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A74CF7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Management Science</w:t>
            </w:r>
          </w:p>
        </w:tc>
        <w:tc>
          <w:tcPr>
            <w:tcW w:w="1080" w:type="dxa"/>
            <w:tcBorders>
              <w:top w:val="nil"/>
              <w:left w:val="nil"/>
              <w:bottom w:val="single" w:sz="4" w:space="0" w:color="auto"/>
              <w:right w:val="single" w:sz="4" w:space="0" w:color="auto"/>
            </w:tcBorders>
            <w:shd w:val="clear" w:color="auto" w:fill="auto"/>
            <w:vAlign w:val="center"/>
            <w:hideMark/>
          </w:tcPr>
          <w:p w14:paraId="1E48E54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2024-04-30</w:t>
            </w:r>
          </w:p>
        </w:tc>
      </w:tr>
      <w:tr w:rsidR="003715A2" w:rsidRPr="000640F6" w14:paraId="15761870" w14:textId="77777777" w:rsidTr="005754E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5031AD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lastRenderedPageBreak/>
              <w:t>25</w:t>
            </w:r>
          </w:p>
        </w:tc>
        <w:tc>
          <w:tcPr>
            <w:tcW w:w="3000" w:type="dxa"/>
            <w:tcBorders>
              <w:top w:val="nil"/>
              <w:left w:val="nil"/>
              <w:bottom w:val="single" w:sz="4" w:space="0" w:color="auto"/>
              <w:right w:val="single" w:sz="4" w:space="0" w:color="auto"/>
            </w:tcBorders>
            <w:shd w:val="clear" w:color="auto" w:fill="auto"/>
            <w:vAlign w:val="center"/>
            <w:hideMark/>
          </w:tcPr>
          <w:p w14:paraId="5328635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携手关系:独立性问题研究新领域</w:t>
            </w:r>
          </w:p>
        </w:tc>
        <w:tc>
          <w:tcPr>
            <w:tcW w:w="1080" w:type="dxa"/>
            <w:tcBorders>
              <w:top w:val="nil"/>
              <w:left w:val="nil"/>
              <w:bottom w:val="single" w:sz="4" w:space="0" w:color="auto"/>
              <w:right w:val="single" w:sz="4" w:space="0" w:color="auto"/>
            </w:tcBorders>
            <w:shd w:val="clear" w:color="auto" w:fill="auto"/>
            <w:vAlign w:val="center"/>
            <w:hideMark/>
          </w:tcPr>
          <w:p w14:paraId="4F771EC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白华</w:t>
            </w:r>
          </w:p>
        </w:tc>
        <w:tc>
          <w:tcPr>
            <w:tcW w:w="1080" w:type="dxa"/>
            <w:tcBorders>
              <w:top w:val="nil"/>
              <w:left w:val="nil"/>
              <w:bottom w:val="single" w:sz="4" w:space="0" w:color="auto"/>
              <w:right w:val="single" w:sz="4" w:space="0" w:color="auto"/>
            </w:tcBorders>
            <w:shd w:val="clear" w:color="auto" w:fill="auto"/>
            <w:vAlign w:val="center"/>
            <w:hideMark/>
          </w:tcPr>
          <w:p w14:paraId="27E37D0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D41124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会计研究</w:t>
            </w:r>
          </w:p>
        </w:tc>
        <w:tc>
          <w:tcPr>
            <w:tcW w:w="1080" w:type="dxa"/>
            <w:tcBorders>
              <w:top w:val="nil"/>
              <w:left w:val="nil"/>
              <w:bottom w:val="single" w:sz="4" w:space="0" w:color="auto"/>
              <w:right w:val="single" w:sz="4" w:space="0" w:color="auto"/>
            </w:tcBorders>
            <w:shd w:val="clear" w:color="auto" w:fill="auto"/>
            <w:vAlign w:val="center"/>
            <w:hideMark/>
          </w:tcPr>
          <w:p w14:paraId="2466C3E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3715A2" w:rsidRPr="000640F6" w14:paraId="7E8DC811"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E9437E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26</w:t>
            </w:r>
          </w:p>
        </w:tc>
        <w:tc>
          <w:tcPr>
            <w:tcW w:w="3000" w:type="dxa"/>
            <w:tcBorders>
              <w:top w:val="nil"/>
              <w:left w:val="nil"/>
              <w:bottom w:val="single" w:sz="4" w:space="0" w:color="auto"/>
              <w:right w:val="single" w:sz="4" w:space="0" w:color="auto"/>
            </w:tcBorders>
            <w:shd w:val="clear" w:color="auto" w:fill="auto"/>
            <w:vAlign w:val="center"/>
            <w:hideMark/>
          </w:tcPr>
          <w:p w14:paraId="4731BA7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高管技术烙印对高科技企业绿色创新能力的影响——</w:t>
            </w:r>
            <w:proofErr w:type="gramStart"/>
            <w:r w:rsidRPr="000640F6">
              <w:rPr>
                <w:rFonts w:ascii="宋体" w:hAnsi="宋体" w:cs="宋体" w:hint="eastAsia"/>
                <w:color w:val="000000"/>
                <w:sz w:val="20"/>
              </w:rPr>
              <w:t>—</w:t>
            </w:r>
            <w:proofErr w:type="gramEnd"/>
            <w:r w:rsidRPr="000640F6">
              <w:rPr>
                <w:rFonts w:ascii="宋体" w:hAnsi="宋体" w:cs="宋体" w:hint="eastAsia"/>
                <w:color w:val="000000"/>
                <w:sz w:val="20"/>
              </w:rPr>
              <w:t>基于数字赋能视域</w:t>
            </w:r>
          </w:p>
        </w:tc>
        <w:tc>
          <w:tcPr>
            <w:tcW w:w="1080" w:type="dxa"/>
            <w:tcBorders>
              <w:top w:val="nil"/>
              <w:left w:val="nil"/>
              <w:bottom w:val="single" w:sz="4" w:space="0" w:color="auto"/>
              <w:right w:val="single" w:sz="4" w:space="0" w:color="auto"/>
            </w:tcBorders>
            <w:shd w:val="clear" w:color="auto" w:fill="auto"/>
            <w:vAlign w:val="center"/>
            <w:hideMark/>
          </w:tcPr>
          <w:p w14:paraId="59CB326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黄微平</w:t>
            </w:r>
          </w:p>
        </w:tc>
        <w:tc>
          <w:tcPr>
            <w:tcW w:w="1080" w:type="dxa"/>
            <w:tcBorders>
              <w:top w:val="nil"/>
              <w:left w:val="nil"/>
              <w:bottom w:val="single" w:sz="4" w:space="0" w:color="auto"/>
              <w:right w:val="single" w:sz="4" w:space="0" w:color="auto"/>
            </w:tcBorders>
            <w:shd w:val="clear" w:color="auto" w:fill="auto"/>
            <w:vAlign w:val="center"/>
            <w:hideMark/>
          </w:tcPr>
          <w:p w14:paraId="6358BA8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5DF9DB6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软科学</w:t>
            </w:r>
          </w:p>
        </w:tc>
        <w:tc>
          <w:tcPr>
            <w:tcW w:w="1080" w:type="dxa"/>
            <w:tcBorders>
              <w:top w:val="nil"/>
              <w:left w:val="nil"/>
              <w:bottom w:val="single" w:sz="4" w:space="0" w:color="auto"/>
              <w:right w:val="single" w:sz="4" w:space="0" w:color="auto"/>
            </w:tcBorders>
            <w:shd w:val="clear" w:color="auto" w:fill="auto"/>
            <w:vAlign w:val="center"/>
            <w:hideMark/>
          </w:tcPr>
          <w:p w14:paraId="5564293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3715A2" w:rsidRPr="000640F6" w14:paraId="6E2E3A5A" w14:textId="77777777" w:rsidTr="005754E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041310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27</w:t>
            </w:r>
          </w:p>
        </w:tc>
        <w:tc>
          <w:tcPr>
            <w:tcW w:w="3000" w:type="dxa"/>
            <w:tcBorders>
              <w:top w:val="nil"/>
              <w:left w:val="nil"/>
              <w:bottom w:val="single" w:sz="4" w:space="0" w:color="auto"/>
              <w:right w:val="single" w:sz="4" w:space="0" w:color="auto"/>
            </w:tcBorders>
            <w:shd w:val="clear" w:color="auto" w:fill="auto"/>
            <w:vAlign w:val="center"/>
            <w:hideMark/>
          </w:tcPr>
          <w:p w14:paraId="0001E4E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What Causes Privatization? Evidence from Import Competition in China</w:t>
            </w:r>
          </w:p>
        </w:tc>
        <w:tc>
          <w:tcPr>
            <w:tcW w:w="1080" w:type="dxa"/>
            <w:tcBorders>
              <w:top w:val="nil"/>
              <w:left w:val="nil"/>
              <w:bottom w:val="single" w:sz="4" w:space="0" w:color="auto"/>
              <w:right w:val="single" w:sz="4" w:space="0" w:color="auto"/>
            </w:tcBorders>
            <w:shd w:val="clear" w:color="auto" w:fill="auto"/>
            <w:vAlign w:val="center"/>
            <w:hideMark/>
          </w:tcPr>
          <w:p w14:paraId="63B66CB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黎文靖</w:t>
            </w:r>
          </w:p>
        </w:tc>
        <w:tc>
          <w:tcPr>
            <w:tcW w:w="1080" w:type="dxa"/>
            <w:tcBorders>
              <w:top w:val="nil"/>
              <w:left w:val="nil"/>
              <w:bottom w:val="single" w:sz="4" w:space="0" w:color="auto"/>
              <w:right w:val="single" w:sz="4" w:space="0" w:color="auto"/>
            </w:tcBorders>
            <w:shd w:val="clear" w:color="auto" w:fill="auto"/>
            <w:vAlign w:val="center"/>
            <w:hideMark/>
          </w:tcPr>
          <w:p w14:paraId="6874C42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6295EB8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Management Science</w:t>
            </w:r>
          </w:p>
        </w:tc>
        <w:tc>
          <w:tcPr>
            <w:tcW w:w="1080" w:type="dxa"/>
            <w:tcBorders>
              <w:top w:val="nil"/>
              <w:left w:val="nil"/>
              <w:bottom w:val="single" w:sz="4" w:space="0" w:color="auto"/>
              <w:right w:val="single" w:sz="4" w:space="0" w:color="auto"/>
            </w:tcBorders>
            <w:shd w:val="clear" w:color="auto" w:fill="auto"/>
            <w:vAlign w:val="center"/>
            <w:hideMark/>
          </w:tcPr>
          <w:p w14:paraId="2C7A62D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3715A2" w:rsidRPr="000640F6" w14:paraId="78FA1FCB"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E8178A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28</w:t>
            </w:r>
          </w:p>
        </w:tc>
        <w:tc>
          <w:tcPr>
            <w:tcW w:w="3000" w:type="dxa"/>
            <w:tcBorders>
              <w:top w:val="nil"/>
              <w:left w:val="nil"/>
              <w:bottom w:val="single" w:sz="4" w:space="0" w:color="auto"/>
              <w:right w:val="single" w:sz="4" w:space="0" w:color="auto"/>
            </w:tcBorders>
            <w:shd w:val="clear" w:color="auto" w:fill="auto"/>
            <w:vAlign w:val="center"/>
            <w:hideMark/>
          </w:tcPr>
          <w:p w14:paraId="47FE25C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Carbon emission trading scheme and firm debt financing</w:t>
            </w:r>
          </w:p>
        </w:tc>
        <w:tc>
          <w:tcPr>
            <w:tcW w:w="1080" w:type="dxa"/>
            <w:tcBorders>
              <w:top w:val="nil"/>
              <w:left w:val="nil"/>
              <w:bottom w:val="single" w:sz="4" w:space="0" w:color="auto"/>
              <w:right w:val="single" w:sz="4" w:space="0" w:color="auto"/>
            </w:tcBorders>
            <w:shd w:val="clear" w:color="auto" w:fill="auto"/>
            <w:vAlign w:val="center"/>
            <w:hideMark/>
          </w:tcPr>
          <w:p w14:paraId="7BFC73B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沈洪涛</w:t>
            </w:r>
          </w:p>
        </w:tc>
        <w:tc>
          <w:tcPr>
            <w:tcW w:w="1080" w:type="dxa"/>
            <w:tcBorders>
              <w:top w:val="nil"/>
              <w:left w:val="nil"/>
              <w:bottom w:val="single" w:sz="4" w:space="0" w:color="auto"/>
              <w:right w:val="single" w:sz="4" w:space="0" w:color="auto"/>
            </w:tcBorders>
            <w:shd w:val="clear" w:color="auto" w:fill="auto"/>
            <w:vAlign w:val="center"/>
            <w:hideMark/>
          </w:tcPr>
          <w:p w14:paraId="1EF15D8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2C9DB05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 xml:space="preserve"> Journal of Contemporary Accounting &amp; Economics</w:t>
            </w:r>
          </w:p>
        </w:tc>
        <w:tc>
          <w:tcPr>
            <w:tcW w:w="1080" w:type="dxa"/>
            <w:tcBorders>
              <w:top w:val="nil"/>
              <w:left w:val="nil"/>
              <w:bottom w:val="single" w:sz="4" w:space="0" w:color="auto"/>
              <w:right w:val="single" w:sz="4" w:space="0" w:color="auto"/>
            </w:tcBorders>
            <w:shd w:val="clear" w:color="auto" w:fill="auto"/>
            <w:vAlign w:val="center"/>
            <w:hideMark/>
          </w:tcPr>
          <w:p w14:paraId="3882476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2024-05-15</w:t>
            </w:r>
          </w:p>
        </w:tc>
      </w:tr>
      <w:tr w:rsidR="003715A2" w:rsidRPr="000640F6" w14:paraId="4D223AFA" w14:textId="77777777" w:rsidTr="005754E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EA2A5B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29</w:t>
            </w:r>
          </w:p>
        </w:tc>
        <w:tc>
          <w:tcPr>
            <w:tcW w:w="3000" w:type="dxa"/>
            <w:tcBorders>
              <w:top w:val="nil"/>
              <w:left w:val="nil"/>
              <w:bottom w:val="single" w:sz="4" w:space="0" w:color="auto"/>
              <w:right w:val="single" w:sz="4" w:space="0" w:color="auto"/>
            </w:tcBorders>
            <w:shd w:val="clear" w:color="auto" w:fill="auto"/>
            <w:vAlign w:val="center"/>
            <w:hideMark/>
          </w:tcPr>
          <w:p w14:paraId="30BCE1D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个体审计师团队中心性与审计定价</w:t>
            </w:r>
          </w:p>
        </w:tc>
        <w:tc>
          <w:tcPr>
            <w:tcW w:w="1080" w:type="dxa"/>
            <w:tcBorders>
              <w:top w:val="nil"/>
              <w:left w:val="nil"/>
              <w:bottom w:val="single" w:sz="4" w:space="0" w:color="auto"/>
              <w:right w:val="single" w:sz="4" w:space="0" w:color="auto"/>
            </w:tcBorders>
            <w:shd w:val="clear" w:color="auto" w:fill="auto"/>
            <w:vAlign w:val="center"/>
            <w:hideMark/>
          </w:tcPr>
          <w:p w14:paraId="5931701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曾亚敏</w:t>
            </w:r>
          </w:p>
        </w:tc>
        <w:tc>
          <w:tcPr>
            <w:tcW w:w="1080" w:type="dxa"/>
            <w:tcBorders>
              <w:top w:val="nil"/>
              <w:left w:val="nil"/>
              <w:bottom w:val="single" w:sz="4" w:space="0" w:color="auto"/>
              <w:right w:val="single" w:sz="4" w:space="0" w:color="auto"/>
            </w:tcBorders>
            <w:shd w:val="clear" w:color="auto" w:fill="auto"/>
            <w:vAlign w:val="center"/>
            <w:hideMark/>
          </w:tcPr>
          <w:p w14:paraId="58A6F56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8216DB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会计与经济研究</w:t>
            </w:r>
          </w:p>
        </w:tc>
        <w:tc>
          <w:tcPr>
            <w:tcW w:w="1080" w:type="dxa"/>
            <w:tcBorders>
              <w:top w:val="nil"/>
              <w:left w:val="nil"/>
              <w:bottom w:val="single" w:sz="4" w:space="0" w:color="auto"/>
              <w:right w:val="single" w:sz="4" w:space="0" w:color="auto"/>
            </w:tcBorders>
            <w:shd w:val="clear" w:color="auto" w:fill="auto"/>
            <w:vAlign w:val="center"/>
            <w:hideMark/>
          </w:tcPr>
          <w:p w14:paraId="557A3A7A"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2024-05-24</w:t>
            </w:r>
          </w:p>
        </w:tc>
      </w:tr>
      <w:tr w:rsidR="003715A2" w:rsidRPr="000640F6" w14:paraId="0FE993C6" w14:textId="77777777" w:rsidTr="005754EE">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53D6ECC"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30</w:t>
            </w:r>
          </w:p>
        </w:tc>
        <w:tc>
          <w:tcPr>
            <w:tcW w:w="3000" w:type="dxa"/>
            <w:tcBorders>
              <w:top w:val="nil"/>
              <w:left w:val="nil"/>
              <w:bottom w:val="single" w:sz="4" w:space="0" w:color="auto"/>
              <w:right w:val="single" w:sz="4" w:space="0" w:color="auto"/>
            </w:tcBorders>
            <w:shd w:val="clear" w:color="auto" w:fill="auto"/>
            <w:vAlign w:val="center"/>
            <w:hideMark/>
          </w:tcPr>
          <w:p w14:paraId="10D06A1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企业数字化与产能过剩</w:t>
            </w:r>
          </w:p>
        </w:tc>
        <w:tc>
          <w:tcPr>
            <w:tcW w:w="1080" w:type="dxa"/>
            <w:tcBorders>
              <w:top w:val="nil"/>
              <w:left w:val="nil"/>
              <w:bottom w:val="single" w:sz="4" w:space="0" w:color="auto"/>
              <w:right w:val="single" w:sz="4" w:space="0" w:color="auto"/>
            </w:tcBorders>
            <w:shd w:val="clear" w:color="auto" w:fill="auto"/>
            <w:vAlign w:val="center"/>
            <w:hideMark/>
          </w:tcPr>
          <w:p w14:paraId="2683CADB"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刘莎莎</w:t>
            </w:r>
          </w:p>
        </w:tc>
        <w:tc>
          <w:tcPr>
            <w:tcW w:w="1080" w:type="dxa"/>
            <w:tcBorders>
              <w:top w:val="nil"/>
              <w:left w:val="nil"/>
              <w:bottom w:val="single" w:sz="4" w:space="0" w:color="auto"/>
              <w:right w:val="single" w:sz="4" w:space="0" w:color="auto"/>
            </w:tcBorders>
            <w:shd w:val="clear" w:color="auto" w:fill="auto"/>
            <w:vAlign w:val="center"/>
            <w:hideMark/>
          </w:tcPr>
          <w:p w14:paraId="2909F1C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7D8C237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经济学报</w:t>
            </w:r>
          </w:p>
        </w:tc>
        <w:tc>
          <w:tcPr>
            <w:tcW w:w="1080" w:type="dxa"/>
            <w:tcBorders>
              <w:top w:val="nil"/>
              <w:left w:val="nil"/>
              <w:bottom w:val="single" w:sz="4" w:space="0" w:color="auto"/>
              <w:right w:val="single" w:sz="4" w:space="0" w:color="auto"/>
            </w:tcBorders>
            <w:shd w:val="clear" w:color="auto" w:fill="auto"/>
            <w:vAlign w:val="center"/>
            <w:hideMark/>
          </w:tcPr>
          <w:p w14:paraId="0438BE4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2024-06-01</w:t>
            </w:r>
          </w:p>
        </w:tc>
      </w:tr>
      <w:tr w:rsidR="003715A2" w:rsidRPr="000640F6" w14:paraId="1A075069" w14:textId="77777777" w:rsidTr="005754EE">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ED6D9D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31</w:t>
            </w:r>
          </w:p>
        </w:tc>
        <w:tc>
          <w:tcPr>
            <w:tcW w:w="3000" w:type="dxa"/>
            <w:tcBorders>
              <w:top w:val="nil"/>
              <w:left w:val="nil"/>
              <w:bottom w:val="single" w:sz="4" w:space="0" w:color="auto"/>
              <w:right w:val="single" w:sz="4" w:space="0" w:color="auto"/>
            </w:tcBorders>
            <w:shd w:val="clear" w:color="auto" w:fill="auto"/>
            <w:vAlign w:val="center"/>
            <w:hideMark/>
          </w:tcPr>
          <w:p w14:paraId="636ED3F5"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Minority state ownership and firm performance: Evidence from the Chinese stock market crash in 2015</w:t>
            </w:r>
          </w:p>
        </w:tc>
        <w:tc>
          <w:tcPr>
            <w:tcW w:w="1080" w:type="dxa"/>
            <w:tcBorders>
              <w:top w:val="nil"/>
              <w:left w:val="nil"/>
              <w:bottom w:val="single" w:sz="4" w:space="0" w:color="auto"/>
              <w:right w:val="single" w:sz="4" w:space="0" w:color="auto"/>
            </w:tcBorders>
            <w:shd w:val="clear" w:color="auto" w:fill="auto"/>
            <w:vAlign w:val="center"/>
            <w:hideMark/>
          </w:tcPr>
          <w:p w14:paraId="2DC63E37" w14:textId="77777777" w:rsidR="003715A2" w:rsidRPr="000640F6" w:rsidRDefault="003715A2" w:rsidP="005754EE">
            <w:pPr>
              <w:widowControl/>
              <w:jc w:val="left"/>
              <w:rPr>
                <w:rFonts w:ascii="宋体" w:hAnsi="宋体" w:cs="宋体" w:hint="eastAsia"/>
                <w:color w:val="000000"/>
                <w:sz w:val="20"/>
              </w:rPr>
            </w:pPr>
            <w:proofErr w:type="gramStart"/>
            <w:r w:rsidRPr="000640F6">
              <w:rPr>
                <w:rFonts w:ascii="宋体" w:hAnsi="宋体" w:cs="宋体" w:hint="eastAsia"/>
                <w:color w:val="000000"/>
                <w:sz w:val="20"/>
              </w:rPr>
              <w:t>谢露</w:t>
            </w:r>
            <w:proofErr w:type="gramEnd"/>
          </w:p>
        </w:tc>
        <w:tc>
          <w:tcPr>
            <w:tcW w:w="1080" w:type="dxa"/>
            <w:tcBorders>
              <w:top w:val="nil"/>
              <w:left w:val="nil"/>
              <w:bottom w:val="single" w:sz="4" w:space="0" w:color="auto"/>
              <w:right w:val="single" w:sz="4" w:space="0" w:color="auto"/>
            </w:tcBorders>
            <w:shd w:val="clear" w:color="auto" w:fill="auto"/>
            <w:vAlign w:val="center"/>
            <w:hideMark/>
          </w:tcPr>
          <w:p w14:paraId="294D802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1D3A062D"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Financial Management</w:t>
            </w:r>
          </w:p>
        </w:tc>
        <w:tc>
          <w:tcPr>
            <w:tcW w:w="1080" w:type="dxa"/>
            <w:tcBorders>
              <w:top w:val="nil"/>
              <w:left w:val="nil"/>
              <w:bottom w:val="single" w:sz="4" w:space="0" w:color="auto"/>
              <w:right w:val="single" w:sz="4" w:space="0" w:color="auto"/>
            </w:tcBorders>
            <w:shd w:val="clear" w:color="auto" w:fill="auto"/>
            <w:vAlign w:val="center"/>
            <w:hideMark/>
          </w:tcPr>
          <w:p w14:paraId="560BB40E"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2024-06-01</w:t>
            </w:r>
          </w:p>
        </w:tc>
      </w:tr>
      <w:tr w:rsidR="003715A2" w:rsidRPr="000640F6" w14:paraId="2989AD8A" w14:textId="77777777" w:rsidTr="005754EE">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5A47F0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32</w:t>
            </w:r>
          </w:p>
        </w:tc>
        <w:tc>
          <w:tcPr>
            <w:tcW w:w="3000" w:type="dxa"/>
            <w:tcBorders>
              <w:top w:val="nil"/>
              <w:left w:val="nil"/>
              <w:bottom w:val="single" w:sz="4" w:space="0" w:color="auto"/>
              <w:right w:val="single" w:sz="4" w:space="0" w:color="auto"/>
            </w:tcBorders>
            <w:shd w:val="clear" w:color="auto" w:fill="auto"/>
            <w:vAlign w:val="center"/>
            <w:hideMark/>
          </w:tcPr>
          <w:p w14:paraId="32A9C97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风险导向抑或制度基础？</w:t>
            </w:r>
          </w:p>
        </w:tc>
        <w:tc>
          <w:tcPr>
            <w:tcW w:w="1080" w:type="dxa"/>
            <w:tcBorders>
              <w:top w:val="nil"/>
              <w:left w:val="nil"/>
              <w:bottom w:val="single" w:sz="4" w:space="0" w:color="auto"/>
              <w:right w:val="single" w:sz="4" w:space="0" w:color="auto"/>
            </w:tcBorders>
            <w:shd w:val="clear" w:color="auto" w:fill="auto"/>
            <w:vAlign w:val="center"/>
            <w:hideMark/>
          </w:tcPr>
          <w:p w14:paraId="36A2D49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白华</w:t>
            </w:r>
          </w:p>
        </w:tc>
        <w:tc>
          <w:tcPr>
            <w:tcW w:w="1080" w:type="dxa"/>
            <w:tcBorders>
              <w:top w:val="nil"/>
              <w:left w:val="nil"/>
              <w:bottom w:val="single" w:sz="4" w:space="0" w:color="auto"/>
              <w:right w:val="single" w:sz="4" w:space="0" w:color="auto"/>
            </w:tcBorders>
            <w:shd w:val="clear" w:color="auto" w:fill="auto"/>
            <w:vAlign w:val="center"/>
            <w:hideMark/>
          </w:tcPr>
          <w:p w14:paraId="1FC27016"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152BD8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会计与经济研究</w:t>
            </w:r>
          </w:p>
        </w:tc>
        <w:tc>
          <w:tcPr>
            <w:tcW w:w="1080" w:type="dxa"/>
            <w:tcBorders>
              <w:top w:val="nil"/>
              <w:left w:val="nil"/>
              <w:bottom w:val="single" w:sz="4" w:space="0" w:color="auto"/>
              <w:right w:val="single" w:sz="4" w:space="0" w:color="auto"/>
            </w:tcBorders>
            <w:shd w:val="clear" w:color="auto" w:fill="auto"/>
            <w:vAlign w:val="center"/>
            <w:hideMark/>
          </w:tcPr>
          <w:p w14:paraId="5E3EC7F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2024-06-15</w:t>
            </w:r>
          </w:p>
        </w:tc>
      </w:tr>
      <w:tr w:rsidR="003715A2" w:rsidRPr="000640F6" w14:paraId="2CA64348" w14:textId="77777777" w:rsidTr="005754EE">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1D35A8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lastRenderedPageBreak/>
              <w:t>33</w:t>
            </w:r>
          </w:p>
        </w:tc>
        <w:tc>
          <w:tcPr>
            <w:tcW w:w="3000" w:type="dxa"/>
            <w:tcBorders>
              <w:top w:val="nil"/>
              <w:left w:val="nil"/>
              <w:bottom w:val="single" w:sz="4" w:space="0" w:color="auto"/>
              <w:right w:val="single" w:sz="4" w:space="0" w:color="auto"/>
            </w:tcBorders>
            <w:shd w:val="clear" w:color="auto" w:fill="auto"/>
            <w:vAlign w:val="center"/>
            <w:hideMark/>
          </w:tcPr>
          <w:p w14:paraId="4444CD40"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Spot check on corporate disclosure quality: Insights from policy learning</w:t>
            </w:r>
          </w:p>
        </w:tc>
        <w:tc>
          <w:tcPr>
            <w:tcW w:w="1080" w:type="dxa"/>
            <w:tcBorders>
              <w:top w:val="nil"/>
              <w:left w:val="nil"/>
              <w:bottom w:val="single" w:sz="4" w:space="0" w:color="auto"/>
              <w:right w:val="single" w:sz="4" w:space="0" w:color="auto"/>
            </w:tcBorders>
            <w:shd w:val="clear" w:color="auto" w:fill="auto"/>
            <w:vAlign w:val="center"/>
            <w:hideMark/>
          </w:tcPr>
          <w:p w14:paraId="1E82F2C8"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曾亚敏</w:t>
            </w:r>
          </w:p>
        </w:tc>
        <w:tc>
          <w:tcPr>
            <w:tcW w:w="1080" w:type="dxa"/>
            <w:tcBorders>
              <w:top w:val="nil"/>
              <w:left w:val="nil"/>
              <w:bottom w:val="single" w:sz="4" w:space="0" w:color="auto"/>
              <w:right w:val="single" w:sz="4" w:space="0" w:color="auto"/>
            </w:tcBorders>
            <w:shd w:val="clear" w:color="auto" w:fill="auto"/>
            <w:vAlign w:val="center"/>
            <w:hideMark/>
          </w:tcPr>
          <w:p w14:paraId="20A8B70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03824F4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Pacific-Basin Finance Journal</w:t>
            </w:r>
          </w:p>
        </w:tc>
        <w:tc>
          <w:tcPr>
            <w:tcW w:w="1080" w:type="dxa"/>
            <w:tcBorders>
              <w:top w:val="nil"/>
              <w:left w:val="nil"/>
              <w:bottom w:val="single" w:sz="4" w:space="0" w:color="auto"/>
              <w:right w:val="single" w:sz="4" w:space="0" w:color="auto"/>
            </w:tcBorders>
            <w:shd w:val="clear" w:color="auto" w:fill="auto"/>
            <w:vAlign w:val="center"/>
            <w:hideMark/>
          </w:tcPr>
          <w:p w14:paraId="39271D92"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2024-07-17</w:t>
            </w:r>
          </w:p>
        </w:tc>
      </w:tr>
      <w:tr w:rsidR="003715A2" w:rsidRPr="000640F6" w14:paraId="6C24B580" w14:textId="77777777" w:rsidTr="005754EE">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16FE173"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34</w:t>
            </w:r>
          </w:p>
        </w:tc>
        <w:tc>
          <w:tcPr>
            <w:tcW w:w="3000" w:type="dxa"/>
            <w:tcBorders>
              <w:top w:val="nil"/>
              <w:left w:val="nil"/>
              <w:bottom w:val="single" w:sz="4" w:space="0" w:color="auto"/>
              <w:right w:val="single" w:sz="4" w:space="0" w:color="auto"/>
            </w:tcBorders>
            <w:shd w:val="clear" w:color="auto" w:fill="auto"/>
            <w:vAlign w:val="center"/>
            <w:hideMark/>
          </w:tcPr>
          <w:p w14:paraId="3C28A669"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数字化环境监测与企业绿色创新</w:t>
            </w:r>
            <w:proofErr w:type="gramStart"/>
            <w:r w:rsidRPr="000640F6">
              <w:rPr>
                <w:rFonts w:ascii="宋体" w:hAnsi="宋体" w:cs="宋体" w:hint="eastAsia"/>
                <w:color w:val="000000"/>
                <w:sz w:val="20"/>
              </w:rPr>
              <w:t>一</w:t>
            </w:r>
            <w:proofErr w:type="gramEnd"/>
            <w:r w:rsidRPr="000640F6">
              <w:rPr>
                <w:rFonts w:ascii="宋体" w:hAnsi="宋体" w:cs="宋体" w:hint="eastAsia"/>
                <w:color w:val="000000"/>
                <w:sz w:val="20"/>
              </w:rPr>
              <w:t>基于环境监测网络建设的准自然实验</w:t>
            </w:r>
          </w:p>
        </w:tc>
        <w:tc>
          <w:tcPr>
            <w:tcW w:w="1080" w:type="dxa"/>
            <w:tcBorders>
              <w:top w:val="nil"/>
              <w:left w:val="nil"/>
              <w:bottom w:val="single" w:sz="4" w:space="0" w:color="auto"/>
              <w:right w:val="single" w:sz="4" w:space="0" w:color="auto"/>
            </w:tcBorders>
            <w:shd w:val="clear" w:color="auto" w:fill="auto"/>
            <w:vAlign w:val="center"/>
            <w:hideMark/>
          </w:tcPr>
          <w:p w14:paraId="7E84D55F"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宋献中</w:t>
            </w:r>
          </w:p>
        </w:tc>
        <w:tc>
          <w:tcPr>
            <w:tcW w:w="1080" w:type="dxa"/>
            <w:tcBorders>
              <w:top w:val="nil"/>
              <w:left w:val="nil"/>
              <w:bottom w:val="single" w:sz="4" w:space="0" w:color="auto"/>
              <w:right w:val="single" w:sz="4" w:space="0" w:color="auto"/>
            </w:tcBorders>
            <w:shd w:val="clear" w:color="auto" w:fill="auto"/>
            <w:vAlign w:val="center"/>
            <w:hideMark/>
          </w:tcPr>
          <w:p w14:paraId="48FA90E7"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第一作者或通讯作者</w:t>
            </w:r>
          </w:p>
        </w:tc>
        <w:tc>
          <w:tcPr>
            <w:tcW w:w="1840" w:type="dxa"/>
            <w:tcBorders>
              <w:top w:val="nil"/>
              <w:left w:val="nil"/>
              <w:bottom w:val="single" w:sz="4" w:space="0" w:color="auto"/>
              <w:right w:val="single" w:sz="4" w:space="0" w:color="auto"/>
            </w:tcBorders>
            <w:shd w:val="clear" w:color="auto" w:fill="auto"/>
            <w:vAlign w:val="center"/>
            <w:hideMark/>
          </w:tcPr>
          <w:p w14:paraId="4F95BD44"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统计研究</w:t>
            </w:r>
          </w:p>
        </w:tc>
        <w:tc>
          <w:tcPr>
            <w:tcW w:w="1080" w:type="dxa"/>
            <w:tcBorders>
              <w:top w:val="nil"/>
              <w:left w:val="nil"/>
              <w:bottom w:val="single" w:sz="4" w:space="0" w:color="auto"/>
              <w:right w:val="single" w:sz="4" w:space="0" w:color="auto"/>
            </w:tcBorders>
            <w:shd w:val="clear" w:color="auto" w:fill="auto"/>
            <w:vAlign w:val="center"/>
            <w:hideMark/>
          </w:tcPr>
          <w:p w14:paraId="3E8AC141" w14:textId="77777777" w:rsidR="003715A2" w:rsidRPr="000640F6" w:rsidRDefault="003715A2" w:rsidP="005754EE">
            <w:pPr>
              <w:widowControl/>
              <w:jc w:val="left"/>
              <w:rPr>
                <w:rFonts w:ascii="宋体" w:hAnsi="宋体" w:cs="宋体" w:hint="eastAsia"/>
                <w:color w:val="000000"/>
                <w:sz w:val="20"/>
              </w:rPr>
            </w:pPr>
            <w:r w:rsidRPr="000640F6">
              <w:rPr>
                <w:rFonts w:ascii="宋体" w:hAnsi="宋体" w:cs="宋体" w:hint="eastAsia"/>
                <w:color w:val="000000"/>
                <w:sz w:val="20"/>
              </w:rPr>
              <w:t>2024-07-25</w:t>
            </w:r>
          </w:p>
        </w:tc>
      </w:tr>
    </w:tbl>
    <w:p w14:paraId="5753D600" w14:textId="77777777" w:rsidR="003715A2" w:rsidRDefault="003715A2" w:rsidP="003715A2">
      <w:pPr>
        <w:spacing w:line="540" w:lineRule="exact"/>
        <w:rPr>
          <w:rFonts w:ascii="楷体_GB2312" w:eastAsia="楷体_GB2312"/>
          <w:color w:val="000000"/>
          <w:sz w:val="30"/>
          <w:szCs w:val="30"/>
        </w:rPr>
      </w:pPr>
    </w:p>
    <w:bookmarkEnd w:id="3"/>
    <w:p w14:paraId="4645AA6C" w14:textId="77777777" w:rsidR="003715A2" w:rsidRDefault="003715A2" w:rsidP="003715A2">
      <w:pPr>
        <w:pStyle w:val="1"/>
        <w:adjustRightInd w:val="0"/>
        <w:snapToGrid w:val="0"/>
        <w:ind w:firstLineChars="0" w:firstLine="560"/>
        <w:jc w:val="center"/>
        <w:rPr>
          <w:rFonts w:ascii="仿宋" w:eastAsia="仿宋" w:hAnsi="仿宋" w:cs="仿宋" w:hint="eastAsia"/>
          <w:snapToGrid w:val="0"/>
          <w:color w:val="000000"/>
          <w:spacing w:val="-11"/>
          <w:sz w:val="28"/>
          <w:szCs w:val="28"/>
        </w:rPr>
      </w:pPr>
      <w:r>
        <w:rPr>
          <w:rFonts w:ascii="Times New Roman" w:eastAsia="方正仿宋简体" w:hAnsi="Times New Roman" w:cs="Times New Roman" w:hint="eastAsia"/>
          <w:color w:val="000000"/>
          <w:sz w:val="28"/>
          <w:szCs w:val="28"/>
        </w:rPr>
        <w:t>表</w:t>
      </w:r>
      <w:r>
        <w:rPr>
          <w:rFonts w:ascii="Times New Roman" w:eastAsia="方正仿宋简体" w:hAnsi="Times New Roman" w:cs="Times New Roman" w:hint="eastAsia"/>
          <w:color w:val="000000"/>
          <w:sz w:val="28"/>
          <w:szCs w:val="28"/>
        </w:rPr>
        <w:t xml:space="preserve"> </w:t>
      </w:r>
      <w:r>
        <w:rPr>
          <w:rFonts w:ascii="Times New Roman" w:eastAsia="方正仿宋简体" w:hAnsi="Times New Roman" w:cs="Times New Roman" w:hint="eastAsia"/>
          <w:color w:val="000000"/>
          <w:sz w:val="28"/>
          <w:szCs w:val="28"/>
        </w:rPr>
        <w:t>本学位点立项项目一览表</w:t>
      </w:r>
    </w:p>
    <w:tbl>
      <w:tblPr>
        <w:tblW w:w="8620" w:type="dxa"/>
        <w:tblInd w:w="118" w:type="dxa"/>
        <w:tblLook w:val="04A0" w:firstRow="1" w:lastRow="0" w:firstColumn="1" w:lastColumn="0" w:noHBand="0" w:noVBand="1"/>
      </w:tblPr>
      <w:tblGrid>
        <w:gridCol w:w="1080"/>
        <w:gridCol w:w="1080"/>
        <w:gridCol w:w="2140"/>
        <w:gridCol w:w="1080"/>
        <w:gridCol w:w="1080"/>
        <w:gridCol w:w="1080"/>
        <w:gridCol w:w="1080"/>
      </w:tblGrid>
      <w:tr w:rsidR="003715A2" w:rsidRPr="00617E29" w14:paraId="3026604E" w14:textId="77777777" w:rsidTr="005754EE">
        <w:trPr>
          <w:trHeight w:val="495"/>
        </w:trPr>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9A7C4B4" w14:textId="77777777" w:rsidR="003715A2" w:rsidRPr="00617E29" w:rsidRDefault="003715A2" w:rsidP="005754EE">
            <w:pPr>
              <w:widowControl/>
              <w:jc w:val="center"/>
              <w:rPr>
                <w:rFonts w:ascii="仿宋" w:eastAsia="仿宋" w:hAnsi="仿宋" w:cs="宋体" w:hint="eastAsia"/>
                <w:color w:val="000000"/>
                <w:sz w:val="20"/>
              </w:rPr>
            </w:pPr>
            <w:bookmarkStart w:id="4" w:name="_Hlk192337213"/>
            <w:r w:rsidRPr="00617E29">
              <w:rPr>
                <w:rFonts w:ascii="仿宋" w:eastAsia="仿宋" w:hAnsi="仿宋" w:cs="宋体" w:hint="eastAsia"/>
                <w:color w:val="000000"/>
                <w:sz w:val="20"/>
              </w:rPr>
              <w:t>序号</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34321491"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姓名</w:t>
            </w:r>
          </w:p>
        </w:tc>
        <w:tc>
          <w:tcPr>
            <w:tcW w:w="2140" w:type="dxa"/>
            <w:tcBorders>
              <w:top w:val="single" w:sz="8" w:space="0" w:color="000000"/>
              <w:left w:val="nil"/>
              <w:bottom w:val="single" w:sz="8" w:space="0" w:color="000000"/>
              <w:right w:val="single" w:sz="8" w:space="0" w:color="000000"/>
            </w:tcBorders>
            <w:shd w:val="clear" w:color="auto" w:fill="auto"/>
            <w:vAlign w:val="center"/>
            <w:hideMark/>
          </w:tcPr>
          <w:p w14:paraId="004BDD2A"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名称</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7970499B"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项目类别</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63C4A5BC"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获</w:t>
            </w:r>
            <w:proofErr w:type="gramStart"/>
            <w:r w:rsidRPr="00617E29">
              <w:rPr>
                <w:rFonts w:ascii="仿宋" w:eastAsia="仿宋" w:hAnsi="仿宋" w:cs="宋体" w:hint="eastAsia"/>
                <w:color w:val="000000"/>
                <w:sz w:val="20"/>
              </w:rPr>
              <w:t>批时间</w:t>
            </w:r>
            <w:proofErr w:type="gramEnd"/>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0A171137"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经费总额（万元）</w:t>
            </w:r>
          </w:p>
        </w:tc>
        <w:tc>
          <w:tcPr>
            <w:tcW w:w="1080" w:type="dxa"/>
            <w:tcBorders>
              <w:top w:val="single" w:sz="8" w:space="0" w:color="000000"/>
              <w:left w:val="nil"/>
              <w:bottom w:val="single" w:sz="8" w:space="0" w:color="000000"/>
              <w:right w:val="single" w:sz="8" w:space="0" w:color="000000"/>
            </w:tcBorders>
            <w:shd w:val="clear" w:color="auto" w:fill="auto"/>
            <w:vAlign w:val="center"/>
            <w:hideMark/>
          </w:tcPr>
          <w:p w14:paraId="31FC1E62"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级别</w:t>
            </w:r>
          </w:p>
        </w:tc>
      </w:tr>
      <w:tr w:rsidR="003715A2" w:rsidRPr="00617E29" w14:paraId="583CBF46" w14:textId="77777777" w:rsidTr="005754EE">
        <w:trPr>
          <w:trHeight w:val="193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4B496DD9"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1</w:t>
            </w:r>
          </w:p>
        </w:tc>
        <w:tc>
          <w:tcPr>
            <w:tcW w:w="1080" w:type="dxa"/>
            <w:tcBorders>
              <w:top w:val="nil"/>
              <w:left w:val="nil"/>
              <w:bottom w:val="single" w:sz="8" w:space="0" w:color="000000"/>
              <w:right w:val="single" w:sz="8" w:space="0" w:color="000000"/>
            </w:tcBorders>
            <w:shd w:val="clear" w:color="auto" w:fill="auto"/>
            <w:vAlign w:val="center"/>
            <w:hideMark/>
          </w:tcPr>
          <w:p w14:paraId="5B07EBAE"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赵晓阳</w:t>
            </w:r>
          </w:p>
        </w:tc>
        <w:tc>
          <w:tcPr>
            <w:tcW w:w="2140" w:type="dxa"/>
            <w:tcBorders>
              <w:top w:val="nil"/>
              <w:left w:val="nil"/>
              <w:bottom w:val="single" w:sz="8" w:space="0" w:color="000000"/>
              <w:right w:val="single" w:sz="8" w:space="0" w:color="000000"/>
            </w:tcBorders>
            <w:shd w:val="clear" w:color="auto" w:fill="auto"/>
            <w:vAlign w:val="center"/>
            <w:hideMark/>
          </w:tcPr>
          <w:p w14:paraId="59E967D9"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谣言止于“治”者——网络实名治理、公司谣言与资本市场经济后果</w:t>
            </w:r>
          </w:p>
        </w:tc>
        <w:tc>
          <w:tcPr>
            <w:tcW w:w="1080" w:type="dxa"/>
            <w:tcBorders>
              <w:top w:val="nil"/>
              <w:left w:val="nil"/>
              <w:bottom w:val="single" w:sz="8" w:space="0" w:color="000000"/>
              <w:right w:val="single" w:sz="8" w:space="0" w:color="000000"/>
            </w:tcBorders>
            <w:shd w:val="clear" w:color="auto" w:fill="auto"/>
            <w:vAlign w:val="center"/>
            <w:hideMark/>
          </w:tcPr>
          <w:p w14:paraId="6A41D06A"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国家自然科学基金青年科学基金项目</w:t>
            </w:r>
          </w:p>
        </w:tc>
        <w:tc>
          <w:tcPr>
            <w:tcW w:w="1080" w:type="dxa"/>
            <w:tcBorders>
              <w:top w:val="nil"/>
              <w:left w:val="nil"/>
              <w:bottom w:val="single" w:sz="8" w:space="0" w:color="000000"/>
              <w:right w:val="single" w:sz="8" w:space="0" w:color="000000"/>
            </w:tcBorders>
            <w:shd w:val="clear" w:color="auto" w:fill="auto"/>
            <w:vAlign w:val="center"/>
            <w:hideMark/>
          </w:tcPr>
          <w:p w14:paraId="79E55184"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6D751B14"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30</w:t>
            </w:r>
          </w:p>
        </w:tc>
        <w:tc>
          <w:tcPr>
            <w:tcW w:w="1080" w:type="dxa"/>
            <w:tcBorders>
              <w:top w:val="nil"/>
              <w:left w:val="nil"/>
              <w:bottom w:val="single" w:sz="8" w:space="0" w:color="000000"/>
              <w:right w:val="single" w:sz="8" w:space="0" w:color="000000"/>
            </w:tcBorders>
            <w:shd w:val="clear" w:color="auto" w:fill="auto"/>
            <w:vAlign w:val="center"/>
            <w:hideMark/>
          </w:tcPr>
          <w:p w14:paraId="409CBE49"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国家级</w:t>
            </w:r>
          </w:p>
        </w:tc>
      </w:tr>
      <w:tr w:rsidR="003715A2" w:rsidRPr="00617E29" w14:paraId="1D56C462" w14:textId="77777777" w:rsidTr="005754EE">
        <w:trPr>
          <w:trHeight w:val="145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2D82C895"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w:t>
            </w:r>
          </w:p>
        </w:tc>
        <w:tc>
          <w:tcPr>
            <w:tcW w:w="1080" w:type="dxa"/>
            <w:tcBorders>
              <w:top w:val="nil"/>
              <w:left w:val="nil"/>
              <w:bottom w:val="single" w:sz="8" w:space="0" w:color="000000"/>
              <w:right w:val="single" w:sz="8" w:space="0" w:color="000000"/>
            </w:tcBorders>
            <w:shd w:val="clear" w:color="auto" w:fill="auto"/>
            <w:vAlign w:val="center"/>
            <w:hideMark/>
          </w:tcPr>
          <w:p w14:paraId="0D55C20A"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郭葆春</w:t>
            </w:r>
          </w:p>
        </w:tc>
        <w:tc>
          <w:tcPr>
            <w:tcW w:w="2140" w:type="dxa"/>
            <w:tcBorders>
              <w:top w:val="nil"/>
              <w:left w:val="nil"/>
              <w:bottom w:val="single" w:sz="8" w:space="0" w:color="000000"/>
              <w:right w:val="single" w:sz="8" w:space="0" w:color="000000"/>
            </w:tcBorders>
            <w:shd w:val="clear" w:color="auto" w:fill="auto"/>
            <w:vAlign w:val="center"/>
            <w:hideMark/>
          </w:tcPr>
          <w:p w14:paraId="2E01BF2B"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企业数字资产全生命周期风险管理及其审计研究</w:t>
            </w:r>
          </w:p>
        </w:tc>
        <w:tc>
          <w:tcPr>
            <w:tcW w:w="1080" w:type="dxa"/>
            <w:tcBorders>
              <w:top w:val="nil"/>
              <w:left w:val="nil"/>
              <w:bottom w:val="single" w:sz="8" w:space="0" w:color="000000"/>
              <w:right w:val="single" w:sz="8" w:space="0" w:color="000000"/>
            </w:tcBorders>
            <w:shd w:val="clear" w:color="auto" w:fill="auto"/>
            <w:vAlign w:val="center"/>
            <w:hideMark/>
          </w:tcPr>
          <w:p w14:paraId="140F9DAE"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其他厅</w:t>
            </w:r>
            <w:proofErr w:type="gramStart"/>
            <w:r w:rsidRPr="00617E29">
              <w:rPr>
                <w:rFonts w:ascii="仿宋" w:eastAsia="仿宋" w:hAnsi="仿宋" w:cs="宋体" w:hint="eastAsia"/>
                <w:color w:val="000000"/>
                <w:sz w:val="20"/>
              </w:rPr>
              <w:t>局级项目</w:t>
            </w:r>
            <w:proofErr w:type="gramEnd"/>
          </w:p>
        </w:tc>
        <w:tc>
          <w:tcPr>
            <w:tcW w:w="1080" w:type="dxa"/>
            <w:tcBorders>
              <w:top w:val="nil"/>
              <w:left w:val="nil"/>
              <w:bottom w:val="single" w:sz="8" w:space="0" w:color="000000"/>
              <w:right w:val="single" w:sz="8" w:space="0" w:color="000000"/>
            </w:tcBorders>
            <w:shd w:val="clear" w:color="auto" w:fill="auto"/>
            <w:vAlign w:val="center"/>
            <w:hideMark/>
          </w:tcPr>
          <w:p w14:paraId="3620D382"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245EFE04"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w:t>
            </w:r>
          </w:p>
        </w:tc>
        <w:tc>
          <w:tcPr>
            <w:tcW w:w="1080" w:type="dxa"/>
            <w:tcBorders>
              <w:top w:val="nil"/>
              <w:left w:val="nil"/>
              <w:bottom w:val="single" w:sz="8" w:space="0" w:color="000000"/>
              <w:right w:val="single" w:sz="8" w:space="0" w:color="000000"/>
            </w:tcBorders>
            <w:shd w:val="clear" w:color="auto" w:fill="auto"/>
            <w:vAlign w:val="center"/>
            <w:hideMark/>
          </w:tcPr>
          <w:p w14:paraId="6B43A67C"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厅局级</w:t>
            </w:r>
          </w:p>
        </w:tc>
      </w:tr>
      <w:tr w:rsidR="003715A2" w:rsidRPr="00617E29" w14:paraId="083B87E5" w14:textId="77777777" w:rsidTr="005754EE">
        <w:trPr>
          <w:trHeight w:val="121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24B89548"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3</w:t>
            </w:r>
          </w:p>
        </w:tc>
        <w:tc>
          <w:tcPr>
            <w:tcW w:w="1080" w:type="dxa"/>
            <w:tcBorders>
              <w:top w:val="nil"/>
              <w:left w:val="nil"/>
              <w:bottom w:val="single" w:sz="8" w:space="0" w:color="000000"/>
              <w:right w:val="single" w:sz="8" w:space="0" w:color="000000"/>
            </w:tcBorders>
            <w:shd w:val="clear" w:color="auto" w:fill="auto"/>
            <w:vAlign w:val="center"/>
            <w:hideMark/>
          </w:tcPr>
          <w:p w14:paraId="5843AF0A"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窦欢</w:t>
            </w:r>
          </w:p>
        </w:tc>
        <w:tc>
          <w:tcPr>
            <w:tcW w:w="2140" w:type="dxa"/>
            <w:tcBorders>
              <w:top w:val="nil"/>
              <w:left w:val="nil"/>
              <w:bottom w:val="single" w:sz="8" w:space="0" w:color="000000"/>
              <w:right w:val="single" w:sz="8" w:space="0" w:color="000000"/>
            </w:tcBorders>
            <w:shd w:val="clear" w:color="auto" w:fill="auto"/>
            <w:vAlign w:val="center"/>
            <w:hideMark/>
          </w:tcPr>
          <w:p w14:paraId="379F0234"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全球华商资产分布、发展质量及其存在的问题</w:t>
            </w:r>
          </w:p>
        </w:tc>
        <w:tc>
          <w:tcPr>
            <w:tcW w:w="1080" w:type="dxa"/>
            <w:tcBorders>
              <w:top w:val="nil"/>
              <w:left w:val="nil"/>
              <w:bottom w:val="single" w:sz="8" w:space="0" w:color="000000"/>
              <w:right w:val="single" w:sz="8" w:space="0" w:color="000000"/>
            </w:tcBorders>
            <w:shd w:val="clear" w:color="auto" w:fill="auto"/>
            <w:vAlign w:val="center"/>
            <w:hideMark/>
          </w:tcPr>
          <w:p w14:paraId="6A244A1F"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其他纵向课题</w:t>
            </w:r>
          </w:p>
        </w:tc>
        <w:tc>
          <w:tcPr>
            <w:tcW w:w="1080" w:type="dxa"/>
            <w:tcBorders>
              <w:top w:val="nil"/>
              <w:left w:val="nil"/>
              <w:bottom w:val="single" w:sz="8" w:space="0" w:color="000000"/>
              <w:right w:val="single" w:sz="8" w:space="0" w:color="000000"/>
            </w:tcBorders>
            <w:shd w:val="clear" w:color="auto" w:fill="auto"/>
            <w:vAlign w:val="center"/>
            <w:hideMark/>
          </w:tcPr>
          <w:p w14:paraId="0D3C812C"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65343CC4"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6</w:t>
            </w:r>
          </w:p>
        </w:tc>
        <w:tc>
          <w:tcPr>
            <w:tcW w:w="1080" w:type="dxa"/>
            <w:tcBorders>
              <w:top w:val="nil"/>
              <w:left w:val="nil"/>
              <w:bottom w:val="single" w:sz="8" w:space="0" w:color="000000"/>
              <w:right w:val="single" w:sz="8" w:space="0" w:color="000000"/>
            </w:tcBorders>
            <w:shd w:val="clear" w:color="auto" w:fill="auto"/>
            <w:vAlign w:val="center"/>
            <w:hideMark/>
          </w:tcPr>
          <w:p w14:paraId="200C057E"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w:t>
            </w:r>
          </w:p>
        </w:tc>
      </w:tr>
      <w:tr w:rsidR="003715A2" w:rsidRPr="00617E29" w14:paraId="5840441E" w14:textId="77777777" w:rsidTr="005754EE">
        <w:trPr>
          <w:trHeight w:val="1935"/>
        </w:trPr>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6ED91CDA"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4</w:t>
            </w:r>
          </w:p>
        </w:tc>
        <w:tc>
          <w:tcPr>
            <w:tcW w:w="1080" w:type="dxa"/>
            <w:tcBorders>
              <w:top w:val="nil"/>
              <w:left w:val="nil"/>
              <w:bottom w:val="single" w:sz="8" w:space="0" w:color="000000"/>
              <w:right w:val="single" w:sz="8" w:space="0" w:color="000000"/>
            </w:tcBorders>
            <w:shd w:val="clear" w:color="auto" w:fill="auto"/>
            <w:vAlign w:val="center"/>
            <w:hideMark/>
          </w:tcPr>
          <w:p w14:paraId="1A34CE09"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杨德明</w:t>
            </w:r>
          </w:p>
        </w:tc>
        <w:tc>
          <w:tcPr>
            <w:tcW w:w="2140" w:type="dxa"/>
            <w:tcBorders>
              <w:top w:val="nil"/>
              <w:left w:val="nil"/>
              <w:bottom w:val="single" w:sz="8" w:space="0" w:color="000000"/>
              <w:right w:val="single" w:sz="8" w:space="0" w:color="000000"/>
            </w:tcBorders>
            <w:shd w:val="clear" w:color="auto" w:fill="auto"/>
            <w:vAlign w:val="center"/>
            <w:hideMark/>
          </w:tcPr>
          <w:p w14:paraId="76D0E60A"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推进数字经济与实体经济有效融合的制度设计与实现路径研究-子卡</w:t>
            </w:r>
          </w:p>
        </w:tc>
        <w:tc>
          <w:tcPr>
            <w:tcW w:w="1080" w:type="dxa"/>
            <w:tcBorders>
              <w:top w:val="nil"/>
              <w:left w:val="nil"/>
              <w:bottom w:val="single" w:sz="8" w:space="0" w:color="000000"/>
              <w:right w:val="single" w:sz="8" w:space="0" w:color="000000"/>
            </w:tcBorders>
            <w:shd w:val="clear" w:color="auto" w:fill="auto"/>
            <w:vAlign w:val="center"/>
            <w:hideMark/>
          </w:tcPr>
          <w:p w14:paraId="4716055E"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其他纵向课题</w:t>
            </w:r>
          </w:p>
        </w:tc>
        <w:tc>
          <w:tcPr>
            <w:tcW w:w="1080" w:type="dxa"/>
            <w:tcBorders>
              <w:top w:val="nil"/>
              <w:left w:val="nil"/>
              <w:bottom w:val="single" w:sz="8" w:space="0" w:color="000000"/>
              <w:right w:val="single" w:sz="8" w:space="0" w:color="000000"/>
            </w:tcBorders>
            <w:shd w:val="clear" w:color="auto" w:fill="auto"/>
            <w:vAlign w:val="center"/>
            <w:hideMark/>
          </w:tcPr>
          <w:p w14:paraId="32D8CB2E"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2024</w:t>
            </w:r>
          </w:p>
        </w:tc>
        <w:tc>
          <w:tcPr>
            <w:tcW w:w="1080" w:type="dxa"/>
            <w:tcBorders>
              <w:top w:val="nil"/>
              <w:left w:val="nil"/>
              <w:bottom w:val="single" w:sz="8" w:space="0" w:color="000000"/>
              <w:right w:val="single" w:sz="8" w:space="0" w:color="000000"/>
            </w:tcBorders>
            <w:shd w:val="clear" w:color="auto" w:fill="auto"/>
            <w:vAlign w:val="center"/>
            <w:hideMark/>
          </w:tcPr>
          <w:p w14:paraId="41F769FE"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10</w:t>
            </w:r>
          </w:p>
        </w:tc>
        <w:tc>
          <w:tcPr>
            <w:tcW w:w="1080" w:type="dxa"/>
            <w:tcBorders>
              <w:top w:val="nil"/>
              <w:left w:val="nil"/>
              <w:bottom w:val="single" w:sz="8" w:space="0" w:color="000000"/>
              <w:right w:val="single" w:sz="8" w:space="0" w:color="000000"/>
            </w:tcBorders>
            <w:shd w:val="clear" w:color="auto" w:fill="auto"/>
            <w:vAlign w:val="center"/>
            <w:hideMark/>
          </w:tcPr>
          <w:p w14:paraId="4BAA1DA6" w14:textId="77777777" w:rsidR="003715A2" w:rsidRPr="00617E29" w:rsidRDefault="003715A2" w:rsidP="005754EE">
            <w:pPr>
              <w:widowControl/>
              <w:jc w:val="center"/>
              <w:rPr>
                <w:rFonts w:ascii="仿宋" w:eastAsia="仿宋" w:hAnsi="仿宋" w:cs="宋体" w:hint="eastAsia"/>
                <w:color w:val="000000"/>
                <w:sz w:val="20"/>
              </w:rPr>
            </w:pPr>
            <w:r w:rsidRPr="00617E29">
              <w:rPr>
                <w:rFonts w:ascii="仿宋" w:eastAsia="仿宋" w:hAnsi="仿宋" w:cs="宋体" w:hint="eastAsia"/>
                <w:color w:val="000000"/>
                <w:sz w:val="20"/>
              </w:rPr>
              <w:t>其他</w:t>
            </w:r>
          </w:p>
        </w:tc>
      </w:tr>
      <w:bookmarkEnd w:id="4"/>
    </w:tbl>
    <w:p w14:paraId="3482126F" w14:textId="77777777" w:rsidR="003715A2" w:rsidRDefault="003715A2" w:rsidP="003715A2">
      <w:pPr>
        <w:spacing w:line="540" w:lineRule="exact"/>
        <w:rPr>
          <w:rFonts w:ascii="楷体_GB2312" w:eastAsia="楷体_GB2312"/>
          <w:color w:val="000000"/>
          <w:sz w:val="30"/>
          <w:szCs w:val="30"/>
        </w:rPr>
      </w:pPr>
    </w:p>
    <w:p w14:paraId="7D09F680"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2.4</w:t>
      </w:r>
      <w:r w:rsidRPr="00C862E4">
        <w:rPr>
          <w:rFonts w:ascii="楷体_GB2312" w:eastAsia="楷体_GB2312" w:hint="eastAsia"/>
          <w:color w:val="000000"/>
          <w:sz w:val="30"/>
          <w:szCs w:val="30"/>
        </w:rPr>
        <w:t>教学</w:t>
      </w:r>
      <w:r>
        <w:rPr>
          <w:rFonts w:ascii="楷体_GB2312" w:eastAsia="楷体_GB2312" w:hint="eastAsia"/>
          <w:color w:val="000000"/>
          <w:sz w:val="30"/>
          <w:szCs w:val="30"/>
        </w:rPr>
        <w:t>科研支撑</w:t>
      </w:r>
    </w:p>
    <w:p w14:paraId="024285F6" w14:textId="77777777" w:rsidR="003715A2" w:rsidRDefault="003715A2" w:rsidP="003715A2">
      <w:pPr>
        <w:spacing w:line="540" w:lineRule="exact"/>
        <w:ind w:firstLineChars="200" w:firstLine="600"/>
        <w:rPr>
          <w:rFonts w:ascii="楷体_GB2312" w:eastAsia="楷体_GB2312"/>
          <w:color w:val="000000"/>
          <w:sz w:val="30"/>
          <w:szCs w:val="30"/>
        </w:rPr>
      </w:pPr>
      <w:r w:rsidRPr="0024066E">
        <w:rPr>
          <w:rFonts w:ascii="楷体_GB2312" w:eastAsia="楷体_GB2312" w:hint="eastAsia"/>
          <w:color w:val="000000"/>
          <w:sz w:val="30"/>
          <w:szCs w:val="30"/>
        </w:rPr>
        <w:lastRenderedPageBreak/>
        <w:t>建立激励案例开发的长效机制，保障案例教学，提高教学质量自主开发教学案例是开展案例教学的基础，也是提高案例教学效果的有力保障。</w:t>
      </w:r>
      <w:r>
        <w:rPr>
          <w:rFonts w:ascii="楷体_GB2312" w:eastAsia="楷体_GB2312" w:hint="eastAsia"/>
          <w:color w:val="000000"/>
          <w:sz w:val="30"/>
          <w:szCs w:val="30"/>
        </w:rPr>
        <w:t>暨南大学会计硕士</w:t>
      </w:r>
      <w:r w:rsidRPr="0024066E">
        <w:rPr>
          <w:rFonts w:ascii="楷体_GB2312" w:eastAsia="楷体_GB2312" w:hint="eastAsia"/>
          <w:color w:val="000000"/>
          <w:sz w:val="30"/>
          <w:szCs w:val="30"/>
        </w:rPr>
        <w:t>教育中心制定了案例开发奖励的措施，鼓励老师参与教学案例开发，提倡案例教学</w:t>
      </w:r>
      <w:r>
        <w:rPr>
          <w:rFonts w:ascii="楷体_GB2312" w:eastAsia="楷体_GB2312" w:hint="eastAsia"/>
          <w:color w:val="000000"/>
          <w:sz w:val="30"/>
          <w:szCs w:val="30"/>
        </w:rPr>
        <w:t>。</w:t>
      </w:r>
      <w:r w:rsidRPr="009A4B78">
        <w:rPr>
          <w:rFonts w:ascii="楷体_GB2312" w:eastAsia="楷体_GB2312" w:hint="eastAsia"/>
          <w:color w:val="000000"/>
          <w:sz w:val="30"/>
          <w:szCs w:val="30"/>
        </w:rPr>
        <w:t>导师李晓溪、沈洪涛等撰写的《低碳视角下的项目投资决策——基于F项目的案例分析》获</w:t>
      </w:r>
      <w:proofErr w:type="spellStart"/>
      <w:r w:rsidRPr="009A4B78">
        <w:rPr>
          <w:rFonts w:ascii="楷体_GB2312" w:eastAsia="楷体_GB2312" w:hint="eastAsia"/>
          <w:color w:val="000000"/>
          <w:sz w:val="30"/>
          <w:szCs w:val="30"/>
        </w:rPr>
        <w:t>MPAcc</w:t>
      </w:r>
      <w:proofErr w:type="spellEnd"/>
      <w:r w:rsidRPr="009A4B78">
        <w:rPr>
          <w:rFonts w:ascii="楷体_GB2312" w:eastAsia="楷体_GB2312" w:hint="eastAsia"/>
          <w:color w:val="000000"/>
          <w:sz w:val="30"/>
          <w:szCs w:val="30"/>
        </w:rPr>
        <w:t>优秀教学案例</w:t>
      </w:r>
      <w:r>
        <w:rPr>
          <w:rFonts w:ascii="楷体_GB2312" w:eastAsia="楷体_GB2312" w:hint="eastAsia"/>
          <w:color w:val="000000"/>
          <w:sz w:val="30"/>
          <w:szCs w:val="30"/>
        </w:rPr>
        <w:t>；</w:t>
      </w:r>
      <w:bookmarkStart w:id="5" w:name="_Hlk192337265"/>
      <w:r w:rsidRPr="009A4B78">
        <w:rPr>
          <w:rFonts w:ascii="楷体_GB2312" w:eastAsia="楷体_GB2312" w:hint="eastAsia"/>
          <w:color w:val="000000"/>
          <w:sz w:val="30"/>
          <w:szCs w:val="30"/>
        </w:rPr>
        <w:t>导师石水平等撰写的《政府补助促进新能源企业实质性创新了吗？——以比亚迪为例》入库</w:t>
      </w:r>
      <w:proofErr w:type="spellStart"/>
      <w:r w:rsidRPr="009A4B78">
        <w:rPr>
          <w:rFonts w:ascii="楷体_GB2312" w:eastAsia="楷体_GB2312" w:hint="eastAsia"/>
          <w:color w:val="000000"/>
          <w:sz w:val="30"/>
          <w:szCs w:val="30"/>
        </w:rPr>
        <w:t>MPAcc</w:t>
      </w:r>
      <w:proofErr w:type="spellEnd"/>
      <w:r w:rsidRPr="009A4B78">
        <w:rPr>
          <w:rFonts w:ascii="楷体_GB2312" w:eastAsia="楷体_GB2312" w:hint="eastAsia"/>
          <w:color w:val="000000"/>
          <w:sz w:val="30"/>
          <w:szCs w:val="30"/>
        </w:rPr>
        <w:t>教学案例</w:t>
      </w:r>
      <w:r>
        <w:rPr>
          <w:rFonts w:ascii="楷体_GB2312" w:eastAsia="楷体_GB2312" w:hint="eastAsia"/>
          <w:color w:val="000000"/>
          <w:sz w:val="30"/>
          <w:szCs w:val="30"/>
        </w:rPr>
        <w:t>。</w:t>
      </w:r>
    </w:p>
    <w:bookmarkEnd w:id="5"/>
    <w:p w14:paraId="4D19F2C7"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本学位点持续举办品牌活动“财务大讲堂”。</w:t>
      </w:r>
      <w:r w:rsidRPr="00A6196C">
        <w:rPr>
          <w:rFonts w:ascii="楷体_GB2312" w:eastAsia="楷体_GB2312" w:hint="eastAsia"/>
          <w:color w:val="000000"/>
          <w:sz w:val="30"/>
          <w:szCs w:val="30"/>
        </w:rPr>
        <w:t>财政部“会计名家”</w:t>
      </w:r>
      <w:r>
        <w:rPr>
          <w:rFonts w:ascii="楷体_GB2312" w:eastAsia="楷体_GB2312" w:hint="eastAsia"/>
          <w:color w:val="000000"/>
          <w:sz w:val="30"/>
          <w:szCs w:val="30"/>
        </w:rPr>
        <w:t>伍中信作了《</w:t>
      </w:r>
      <w:r w:rsidRPr="00A6196C">
        <w:rPr>
          <w:rFonts w:ascii="楷体_GB2312" w:eastAsia="楷体_GB2312" w:hint="eastAsia"/>
          <w:color w:val="000000"/>
          <w:sz w:val="30"/>
          <w:szCs w:val="30"/>
        </w:rPr>
        <w:t>新质生产力与一流财务管理融合推进</w:t>
      </w:r>
      <w:r>
        <w:rPr>
          <w:rFonts w:ascii="楷体_GB2312" w:eastAsia="楷体_GB2312" w:hint="eastAsia"/>
          <w:color w:val="000000"/>
          <w:sz w:val="30"/>
          <w:szCs w:val="30"/>
        </w:rPr>
        <w:t>》的讲座；</w:t>
      </w:r>
      <w:proofErr w:type="spellStart"/>
      <w:r w:rsidRPr="00A6196C">
        <w:rPr>
          <w:rFonts w:ascii="楷体_GB2312" w:eastAsia="楷体_GB2312" w:hint="eastAsia"/>
          <w:color w:val="000000"/>
          <w:sz w:val="30"/>
          <w:szCs w:val="30"/>
        </w:rPr>
        <w:t>Forvis</w:t>
      </w:r>
      <w:proofErr w:type="spellEnd"/>
      <w:r w:rsidRPr="00A6196C">
        <w:rPr>
          <w:rFonts w:ascii="楷体_GB2312" w:eastAsia="楷体_GB2312" w:hint="eastAsia"/>
          <w:color w:val="000000"/>
          <w:sz w:val="30"/>
          <w:szCs w:val="30"/>
        </w:rPr>
        <w:t xml:space="preserve"> Mazars合伙人</w:t>
      </w:r>
      <w:r>
        <w:rPr>
          <w:rFonts w:ascii="楷体_GB2312" w:eastAsia="楷体_GB2312" w:hint="eastAsia"/>
          <w:color w:val="000000"/>
          <w:sz w:val="30"/>
          <w:szCs w:val="30"/>
        </w:rPr>
        <w:t>叶春雨作了《</w:t>
      </w:r>
      <w:r w:rsidRPr="00A6196C">
        <w:rPr>
          <w:rFonts w:ascii="楷体_GB2312" w:eastAsia="楷体_GB2312" w:hint="eastAsia"/>
          <w:color w:val="000000"/>
          <w:sz w:val="30"/>
          <w:szCs w:val="30"/>
        </w:rPr>
        <w:t>拥抱大湾区未来-在校生如何解锁国际财务人才的核心竞争力</w:t>
      </w:r>
      <w:r>
        <w:rPr>
          <w:rFonts w:ascii="楷体_GB2312" w:eastAsia="楷体_GB2312" w:hint="eastAsia"/>
          <w:color w:val="000000"/>
          <w:sz w:val="30"/>
          <w:szCs w:val="30"/>
        </w:rPr>
        <w:t>》的讲座，从实践的角度给本学位点学生教学。</w:t>
      </w:r>
    </w:p>
    <w:p w14:paraId="77838FEA" w14:textId="77777777" w:rsidR="003715A2" w:rsidRPr="00F00EF9"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2.5奖助体系</w:t>
      </w:r>
    </w:p>
    <w:p w14:paraId="0D34E9C4"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根据《暨南大学研究生奖助学金体系改革试行办法》，暨南大学会计硕士教育中心制定了《暨南大学会计硕士（</w:t>
      </w:r>
      <w:proofErr w:type="spellStart"/>
      <w:r w:rsidRPr="00F00EF9">
        <w:rPr>
          <w:rFonts w:ascii="楷体_GB2312" w:eastAsia="楷体_GB2312"/>
          <w:color w:val="000000"/>
          <w:sz w:val="30"/>
          <w:szCs w:val="30"/>
        </w:rPr>
        <w:t>MPAcc</w:t>
      </w:r>
      <w:proofErr w:type="spellEnd"/>
      <w:r w:rsidRPr="00F00EF9">
        <w:rPr>
          <w:rFonts w:ascii="楷体_GB2312" w:eastAsia="楷体_GB2312"/>
          <w:color w:val="000000"/>
          <w:sz w:val="30"/>
          <w:szCs w:val="30"/>
        </w:rPr>
        <w:t>）奖助学金评定细则（试行）》，每年通过学校分配的奖助学金额度划定评定等级，以学生该学年成绩排名为评定标准，奖助学金覆盖率达100%。</w:t>
      </w:r>
    </w:p>
    <w:p w14:paraId="41F8AB17"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参评范围:全日制非定向会计硕士研究生（</w:t>
      </w:r>
      <w:proofErr w:type="spellStart"/>
      <w:r w:rsidRPr="00F00EF9">
        <w:rPr>
          <w:rFonts w:ascii="楷体_GB2312" w:eastAsia="楷体_GB2312"/>
          <w:color w:val="000000"/>
          <w:sz w:val="30"/>
          <w:szCs w:val="30"/>
        </w:rPr>
        <w:t>MPAcc</w:t>
      </w:r>
      <w:proofErr w:type="spellEnd"/>
      <w:r w:rsidRPr="00F00EF9">
        <w:rPr>
          <w:rFonts w:ascii="楷体_GB2312" w:eastAsia="楷体_GB2312"/>
          <w:color w:val="000000"/>
          <w:sz w:val="30"/>
          <w:szCs w:val="30"/>
        </w:rPr>
        <w:t>），不含委培生、定向生和境外生。</w:t>
      </w:r>
    </w:p>
    <w:p w14:paraId="7BC8759B"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参评原则与条件:</w:t>
      </w:r>
    </w:p>
    <w:p w14:paraId="5454BCDC"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（1）</w:t>
      </w:r>
      <w:r w:rsidRPr="00F00EF9">
        <w:rPr>
          <w:rFonts w:ascii="楷体_GB2312" w:eastAsia="楷体_GB2312"/>
          <w:color w:val="000000"/>
          <w:sz w:val="30"/>
          <w:szCs w:val="30"/>
        </w:rPr>
        <w:t>奖助学金评定以学校研究生教育综合管理平台的专业平均成绩排名为依据，以本细则为准绳，</w:t>
      </w:r>
      <w:proofErr w:type="gramStart"/>
      <w:r w:rsidRPr="00F00EF9">
        <w:rPr>
          <w:rFonts w:ascii="楷体_GB2312" w:eastAsia="楷体_GB2312"/>
          <w:color w:val="000000"/>
          <w:sz w:val="30"/>
          <w:szCs w:val="30"/>
        </w:rPr>
        <w:t>评定奖</w:t>
      </w:r>
      <w:proofErr w:type="gramEnd"/>
      <w:r w:rsidRPr="00F00EF9">
        <w:rPr>
          <w:rFonts w:ascii="楷体_GB2312" w:eastAsia="楷体_GB2312"/>
          <w:color w:val="000000"/>
          <w:sz w:val="30"/>
          <w:szCs w:val="30"/>
        </w:rPr>
        <w:t>助学金等级。</w:t>
      </w:r>
    </w:p>
    <w:p w14:paraId="51DE2002"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lastRenderedPageBreak/>
        <w:t>（2）</w:t>
      </w:r>
      <w:r w:rsidRPr="00F00EF9">
        <w:rPr>
          <w:rFonts w:ascii="楷体_GB2312" w:eastAsia="楷体_GB2312"/>
          <w:color w:val="000000"/>
          <w:sz w:val="30"/>
          <w:szCs w:val="30"/>
        </w:rPr>
        <w:t>研究生有下列情况之一者，可直接获得相应等级奖助学金：</w:t>
      </w:r>
    </w:p>
    <w:p w14:paraId="517ECFA2"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参加全国</w:t>
      </w:r>
      <w:proofErr w:type="spellStart"/>
      <w:r w:rsidRPr="00F00EF9">
        <w:rPr>
          <w:rFonts w:ascii="楷体_GB2312" w:eastAsia="楷体_GB2312"/>
          <w:color w:val="000000"/>
          <w:sz w:val="30"/>
          <w:szCs w:val="30"/>
        </w:rPr>
        <w:t>MPAcc</w:t>
      </w:r>
      <w:proofErr w:type="spellEnd"/>
      <w:r w:rsidRPr="00F00EF9">
        <w:rPr>
          <w:rFonts w:ascii="楷体_GB2312" w:eastAsia="楷体_GB2312"/>
          <w:color w:val="000000"/>
          <w:sz w:val="30"/>
          <w:szCs w:val="30"/>
        </w:rPr>
        <w:t>案例大赛并获全国冠军者可直接获得一等奖助学金；参加全国</w:t>
      </w:r>
      <w:proofErr w:type="spellStart"/>
      <w:r w:rsidRPr="00F00EF9">
        <w:rPr>
          <w:rFonts w:ascii="楷体_GB2312" w:eastAsia="楷体_GB2312"/>
          <w:color w:val="000000"/>
          <w:sz w:val="30"/>
          <w:szCs w:val="30"/>
        </w:rPr>
        <w:t>MPAcc</w:t>
      </w:r>
      <w:proofErr w:type="spellEnd"/>
      <w:r w:rsidRPr="00F00EF9">
        <w:rPr>
          <w:rFonts w:ascii="楷体_GB2312" w:eastAsia="楷体_GB2312"/>
          <w:color w:val="000000"/>
          <w:sz w:val="30"/>
          <w:szCs w:val="30"/>
        </w:rPr>
        <w:t>案例大赛并进入决赛者可直接获得二等奖助学金。</w:t>
      </w:r>
    </w:p>
    <w:p w14:paraId="08F04AB4"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color w:val="000000"/>
          <w:sz w:val="30"/>
          <w:szCs w:val="30"/>
        </w:rPr>
        <w:t>评定程序：</w:t>
      </w:r>
    </w:p>
    <w:p w14:paraId="056E8E7F"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（1）</w:t>
      </w:r>
      <w:r w:rsidRPr="00F00EF9">
        <w:rPr>
          <w:rFonts w:ascii="楷体_GB2312" w:eastAsia="楷体_GB2312"/>
          <w:color w:val="000000"/>
          <w:sz w:val="30"/>
          <w:szCs w:val="30"/>
        </w:rPr>
        <w:t>会计</w:t>
      </w:r>
      <w:proofErr w:type="gramStart"/>
      <w:r w:rsidRPr="00F00EF9">
        <w:rPr>
          <w:rFonts w:ascii="楷体_GB2312" w:eastAsia="楷体_GB2312"/>
          <w:color w:val="000000"/>
          <w:sz w:val="30"/>
          <w:szCs w:val="30"/>
        </w:rPr>
        <w:t>硕士奖</w:t>
      </w:r>
      <w:proofErr w:type="gramEnd"/>
      <w:r w:rsidRPr="00F00EF9">
        <w:rPr>
          <w:rFonts w:ascii="楷体_GB2312" w:eastAsia="楷体_GB2312"/>
          <w:color w:val="000000"/>
          <w:sz w:val="30"/>
          <w:szCs w:val="30"/>
        </w:rPr>
        <w:t>助学金评定委员会根据本细则和参评研究生的专业平均成绩排名进行综合评分，综合评分成绩在专业内公布；</w:t>
      </w:r>
    </w:p>
    <w:p w14:paraId="7D5D4CF7"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（2）</w:t>
      </w:r>
      <w:r w:rsidRPr="00F00EF9">
        <w:rPr>
          <w:rFonts w:ascii="楷体_GB2312" w:eastAsia="楷体_GB2312"/>
          <w:color w:val="000000"/>
          <w:sz w:val="30"/>
          <w:szCs w:val="30"/>
        </w:rPr>
        <w:t>会计</w:t>
      </w:r>
      <w:proofErr w:type="gramStart"/>
      <w:r w:rsidRPr="00F00EF9">
        <w:rPr>
          <w:rFonts w:ascii="楷体_GB2312" w:eastAsia="楷体_GB2312"/>
          <w:color w:val="000000"/>
          <w:sz w:val="30"/>
          <w:szCs w:val="30"/>
        </w:rPr>
        <w:t>硕士奖</w:t>
      </w:r>
      <w:proofErr w:type="gramEnd"/>
      <w:r w:rsidRPr="00F00EF9">
        <w:rPr>
          <w:rFonts w:ascii="楷体_GB2312" w:eastAsia="楷体_GB2312"/>
          <w:color w:val="000000"/>
          <w:sz w:val="30"/>
          <w:szCs w:val="30"/>
        </w:rPr>
        <w:t>助学金评定指导小组根据综合评分成绩进行奖助学金等级评定，并公示评定结果；</w:t>
      </w:r>
    </w:p>
    <w:p w14:paraId="7F5E8DB9"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（3）</w:t>
      </w:r>
      <w:r w:rsidRPr="00F00EF9">
        <w:rPr>
          <w:rFonts w:ascii="楷体_GB2312" w:eastAsia="楷体_GB2312"/>
          <w:color w:val="000000"/>
          <w:sz w:val="30"/>
          <w:szCs w:val="30"/>
        </w:rPr>
        <w:t>评定结果公示三天，如研究生对评定结果有异议，在规定期限内向中心办公室反映，逾期不予受理。</w:t>
      </w:r>
    </w:p>
    <w:p w14:paraId="696FE4EC" w14:textId="77777777" w:rsidR="003715A2" w:rsidRPr="00F00EF9" w:rsidRDefault="003715A2" w:rsidP="003715A2">
      <w:pPr>
        <w:spacing w:line="360" w:lineRule="auto"/>
        <w:ind w:firstLineChars="200" w:firstLine="600"/>
        <w:rPr>
          <w:rFonts w:ascii="楷体_GB2312" w:eastAsia="楷体_GB2312"/>
          <w:color w:val="000000"/>
          <w:sz w:val="30"/>
          <w:szCs w:val="30"/>
        </w:rPr>
      </w:pPr>
      <w:r w:rsidRPr="00F00EF9">
        <w:rPr>
          <w:rFonts w:ascii="楷体_GB2312" w:eastAsia="楷体_GB2312" w:hint="eastAsia"/>
          <w:color w:val="000000"/>
          <w:sz w:val="30"/>
          <w:szCs w:val="30"/>
        </w:rPr>
        <w:t>（4）</w:t>
      </w:r>
      <w:r w:rsidRPr="00F00EF9">
        <w:rPr>
          <w:rFonts w:ascii="楷体_GB2312" w:eastAsia="楷体_GB2312"/>
          <w:color w:val="000000"/>
          <w:sz w:val="30"/>
          <w:szCs w:val="30"/>
        </w:rPr>
        <w:t>奖助学金等级及金额</w:t>
      </w:r>
    </w:p>
    <w:p w14:paraId="04AE0F2D" w14:textId="77777777" w:rsidR="003715A2" w:rsidRPr="00F00EF9" w:rsidRDefault="003715A2" w:rsidP="003715A2">
      <w:pPr>
        <w:spacing w:line="360" w:lineRule="auto"/>
        <w:jc w:val="center"/>
        <w:rPr>
          <w:rFonts w:ascii="楷体_GB2312" w:eastAsia="楷体_GB2312"/>
          <w:color w:val="000000"/>
          <w:sz w:val="30"/>
          <w:szCs w:val="30"/>
        </w:rPr>
      </w:pPr>
      <w:r w:rsidRPr="00F00EF9">
        <w:rPr>
          <w:rFonts w:ascii="楷体_GB2312" w:eastAsia="楷体_GB2312"/>
          <w:color w:val="000000"/>
          <w:sz w:val="30"/>
          <w:szCs w:val="30"/>
        </w:rPr>
        <w:t>表  会计硕士研究生奖助学金等级及金额</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5"/>
        <w:gridCol w:w="1261"/>
        <w:gridCol w:w="1947"/>
        <w:gridCol w:w="2091"/>
        <w:gridCol w:w="2231"/>
      </w:tblGrid>
      <w:tr w:rsidR="003715A2" w:rsidRPr="00F00EF9" w14:paraId="457F80E3" w14:textId="77777777" w:rsidTr="005754EE">
        <w:trPr>
          <w:trHeight w:val="46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8D1DE" w14:textId="77777777" w:rsidR="003715A2" w:rsidRPr="00F00EF9" w:rsidRDefault="003715A2" w:rsidP="005754E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等级</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8050C" w14:textId="77777777" w:rsidR="003715A2" w:rsidRPr="00F00EF9" w:rsidRDefault="003715A2" w:rsidP="005754E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覆盖面</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65734" w14:textId="77777777" w:rsidR="003715A2" w:rsidRPr="00F00EF9" w:rsidRDefault="003715A2" w:rsidP="005754E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国家助学金</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C486C" w14:textId="77777777" w:rsidR="003715A2" w:rsidRPr="00F00EF9" w:rsidRDefault="003715A2" w:rsidP="005754E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学业奖学金</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32BAE" w14:textId="77777777" w:rsidR="003715A2" w:rsidRPr="00F00EF9" w:rsidRDefault="003715A2" w:rsidP="005754EE">
            <w:pPr>
              <w:widowControl/>
              <w:spacing w:line="500" w:lineRule="exact"/>
              <w:jc w:val="center"/>
              <w:rPr>
                <w:rFonts w:ascii="楷体_GB2312" w:eastAsia="楷体_GB2312"/>
                <w:color w:val="000000"/>
                <w:sz w:val="30"/>
                <w:szCs w:val="30"/>
              </w:rPr>
            </w:pPr>
            <w:r w:rsidRPr="00F00EF9">
              <w:rPr>
                <w:rFonts w:ascii="楷体_GB2312" w:eastAsia="楷体_GB2312"/>
                <w:color w:val="000000"/>
                <w:sz w:val="30"/>
                <w:szCs w:val="30"/>
              </w:rPr>
              <w:t>总金额</w:t>
            </w:r>
          </w:p>
        </w:tc>
      </w:tr>
      <w:tr w:rsidR="003715A2" w:rsidRPr="00F00EF9" w14:paraId="12C52E3F" w14:textId="77777777" w:rsidTr="005754EE">
        <w:trPr>
          <w:trHeight w:val="390"/>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053AA"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一等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67A60"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10%</w:t>
            </w:r>
          </w:p>
        </w:tc>
        <w:tc>
          <w:tcPr>
            <w:tcW w:w="1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171A4"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0.6万元/年</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18655"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B3821"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1.8万元/年</w:t>
            </w:r>
          </w:p>
        </w:tc>
      </w:tr>
      <w:tr w:rsidR="003715A2" w:rsidRPr="00F00EF9" w14:paraId="0F9DDD2A" w14:textId="77777777" w:rsidTr="005754E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BDBB6"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二等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8B121"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60%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7A301AEC" w14:textId="77777777" w:rsidR="003715A2" w:rsidRPr="00F00EF9" w:rsidRDefault="003715A2" w:rsidP="005754EE">
            <w:pPr>
              <w:widowControl/>
              <w:jc w:val="left"/>
              <w:rPr>
                <w:rFonts w:ascii="楷体_GB2312" w:eastAsia="楷体_GB2312"/>
                <w:color w:val="000000"/>
                <w:sz w:val="30"/>
                <w:szCs w:val="30"/>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5CB12"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0.6万元/年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C246B"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1.2万元/年</w:t>
            </w:r>
          </w:p>
        </w:tc>
      </w:tr>
      <w:tr w:rsidR="003715A2" w:rsidRPr="00F00EF9" w14:paraId="1C0D256A" w14:textId="77777777" w:rsidTr="005754E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A41E4"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三等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EAA0E"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30%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0BCEE050" w14:textId="77777777" w:rsidR="003715A2" w:rsidRPr="00F00EF9" w:rsidRDefault="003715A2" w:rsidP="005754EE">
            <w:pPr>
              <w:widowControl/>
              <w:jc w:val="left"/>
              <w:rPr>
                <w:rFonts w:ascii="楷体_GB2312" w:eastAsia="楷体_GB2312"/>
                <w:color w:val="000000"/>
                <w:sz w:val="30"/>
                <w:szCs w:val="30"/>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00F0B"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DD264"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0.8万元/年</w:t>
            </w:r>
          </w:p>
        </w:tc>
      </w:tr>
      <w:tr w:rsidR="003715A2" w:rsidRPr="00F00EF9" w14:paraId="0D529C44" w14:textId="77777777" w:rsidTr="005754EE">
        <w:trPr>
          <w:trHeight w:val="390"/>
          <w:jc w:val="center"/>
        </w:trPr>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11A3E"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备注</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881FC"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按月发放</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F62A3"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按年发放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7C2A2" w14:textId="77777777" w:rsidR="003715A2" w:rsidRPr="00F00EF9" w:rsidRDefault="003715A2" w:rsidP="005754EE">
            <w:pPr>
              <w:widowControl/>
              <w:spacing w:line="400" w:lineRule="exact"/>
              <w:jc w:val="center"/>
              <w:rPr>
                <w:rFonts w:ascii="楷体_GB2312" w:eastAsia="楷体_GB2312"/>
                <w:color w:val="000000"/>
                <w:sz w:val="30"/>
                <w:szCs w:val="30"/>
              </w:rPr>
            </w:pPr>
            <w:r w:rsidRPr="00F00EF9">
              <w:rPr>
                <w:rFonts w:ascii="楷体_GB2312" w:eastAsia="楷体_GB2312"/>
                <w:color w:val="000000"/>
                <w:sz w:val="30"/>
                <w:szCs w:val="30"/>
              </w:rPr>
              <w:t>\</w:t>
            </w:r>
          </w:p>
        </w:tc>
      </w:tr>
    </w:tbl>
    <w:p w14:paraId="3541A742" w14:textId="77777777" w:rsidR="003715A2" w:rsidRPr="00F00EF9" w:rsidRDefault="003715A2" w:rsidP="003715A2">
      <w:pPr>
        <w:spacing w:line="360" w:lineRule="auto"/>
        <w:rPr>
          <w:rFonts w:ascii="楷体_GB2312" w:eastAsia="楷体_GB2312"/>
          <w:color w:val="000000"/>
          <w:sz w:val="30"/>
          <w:szCs w:val="30"/>
        </w:rPr>
      </w:pPr>
      <w:r w:rsidRPr="00F00EF9">
        <w:rPr>
          <w:rFonts w:ascii="楷体_GB2312" w:eastAsia="楷体_GB2312"/>
          <w:color w:val="000000"/>
          <w:sz w:val="30"/>
          <w:szCs w:val="30"/>
        </w:rPr>
        <w:t>注：所有全日制非定向会计硕士研究生（</w:t>
      </w:r>
      <w:proofErr w:type="spellStart"/>
      <w:r w:rsidRPr="00F00EF9">
        <w:rPr>
          <w:rFonts w:ascii="楷体_GB2312" w:eastAsia="楷体_GB2312"/>
          <w:color w:val="000000"/>
          <w:sz w:val="30"/>
          <w:szCs w:val="30"/>
        </w:rPr>
        <w:t>MPAcc</w:t>
      </w:r>
      <w:proofErr w:type="spellEnd"/>
      <w:r w:rsidRPr="00F00EF9">
        <w:rPr>
          <w:rFonts w:ascii="楷体_GB2312" w:eastAsia="楷体_GB2312"/>
          <w:color w:val="000000"/>
          <w:sz w:val="30"/>
          <w:szCs w:val="30"/>
        </w:rPr>
        <w:t>）享受国家助学金补贴，每生每年6000元，按月发放，每月500元。</w:t>
      </w:r>
    </w:p>
    <w:p w14:paraId="32BA5E8D"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3.人才培养</w:t>
      </w:r>
    </w:p>
    <w:p w14:paraId="32CA1D51"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3.1招生选拔</w:t>
      </w:r>
    </w:p>
    <w:p w14:paraId="0ED37AF4" w14:textId="77777777" w:rsidR="003715A2" w:rsidRDefault="003715A2" w:rsidP="003715A2">
      <w:pPr>
        <w:widowControl/>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lastRenderedPageBreak/>
        <w:t>本学位点2024年研究生报考数量721人，拟录取人数149人，拟</w:t>
      </w:r>
      <w:r w:rsidRPr="00703B86">
        <w:rPr>
          <w:rFonts w:ascii="楷体_GB2312" w:eastAsia="楷体_GB2312"/>
          <w:color w:val="000000"/>
          <w:sz w:val="30"/>
          <w:szCs w:val="30"/>
        </w:rPr>
        <w:t>录取学员中毕业于</w:t>
      </w:r>
      <w:r w:rsidRPr="00703B86">
        <w:rPr>
          <w:rFonts w:ascii="楷体_GB2312" w:eastAsia="楷体_GB2312" w:hint="eastAsia"/>
          <w:color w:val="000000"/>
          <w:sz w:val="30"/>
          <w:szCs w:val="30"/>
        </w:rPr>
        <w:t>211、985或会计学国家重点学科大学的比例</w:t>
      </w:r>
      <w:r>
        <w:rPr>
          <w:rFonts w:ascii="楷体_GB2312" w:eastAsia="楷体_GB2312" w:hint="eastAsia"/>
          <w:color w:val="000000"/>
          <w:sz w:val="30"/>
          <w:szCs w:val="30"/>
        </w:rPr>
        <w:t>约为</w:t>
      </w:r>
      <w:r w:rsidRPr="00703B86">
        <w:rPr>
          <w:rFonts w:ascii="楷体_GB2312" w:eastAsia="楷体_GB2312" w:hint="eastAsia"/>
          <w:color w:val="000000"/>
          <w:sz w:val="30"/>
          <w:szCs w:val="30"/>
        </w:rPr>
        <w:t>3</w:t>
      </w:r>
      <w:r>
        <w:rPr>
          <w:rFonts w:ascii="楷体_GB2312" w:eastAsia="楷体_GB2312" w:hint="eastAsia"/>
          <w:color w:val="000000"/>
          <w:sz w:val="30"/>
          <w:szCs w:val="30"/>
        </w:rPr>
        <w:t>4.3</w:t>
      </w:r>
      <w:r w:rsidRPr="00703B86">
        <w:rPr>
          <w:rFonts w:ascii="楷体_GB2312" w:eastAsia="楷体_GB2312" w:hint="eastAsia"/>
          <w:color w:val="000000"/>
          <w:sz w:val="30"/>
          <w:szCs w:val="30"/>
        </w:rPr>
        <w:t>%</w:t>
      </w:r>
      <w:r>
        <w:rPr>
          <w:rFonts w:ascii="楷体_GB2312" w:eastAsia="楷体_GB2312" w:hint="eastAsia"/>
          <w:color w:val="000000"/>
          <w:sz w:val="30"/>
          <w:szCs w:val="30"/>
        </w:rPr>
        <w:t>。本学位点</w:t>
      </w:r>
      <w:r w:rsidRPr="00852A03">
        <w:rPr>
          <w:rFonts w:ascii="楷体_GB2312" w:eastAsia="楷体_GB2312" w:hint="eastAsia"/>
          <w:color w:val="000000"/>
          <w:sz w:val="30"/>
          <w:szCs w:val="30"/>
        </w:rPr>
        <w:t>招生制度完善，包含招生目标、初复试选拔标准、复试流程、录取流程等，具体阐明了复试各环节的形式及内容、专业课的考察范围及难度。招生流程的创新点包括：</w:t>
      </w:r>
      <w:r>
        <w:rPr>
          <w:rFonts w:ascii="楷体_GB2312" w:eastAsia="楷体_GB2312" w:hint="eastAsia"/>
          <w:color w:val="000000"/>
          <w:sz w:val="30"/>
          <w:szCs w:val="30"/>
        </w:rPr>
        <w:t>（1）</w:t>
      </w:r>
      <w:r w:rsidRPr="00852A03">
        <w:rPr>
          <w:rFonts w:ascii="楷体_GB2312" w:eastAsia="楷体_GB2312" w:hint="eastAsia"/>
          <w:color w:val="000000"/>
          <w:sz w:val="30"/>
          <w:szCs w:val="30"/>
        </w:rPr>
        <w:t>复试笔试、英语面试、专业面试、综合面试过程中全程录像，保证复试的公平公正。</w:t>
      </w:r>
      <w:r>
        <w:rPr>
          <w:rFonts w:ascii="楷体_GB2312" w:eastAsia="楷体_GB2312" w:hint="eastAsia"/>
          <w:color w:val="000000"/>
          <w:sz w:val="30"/>
          <w:szCs w:val="30"/>
        </w:rPr>
        <w:t>（2）</w:t>
      </w:r>
      <w:r w:rsidRPr="00852A03">
        <w:rPr>
          <w:rFonts w:ascii="楷体_GB2312" w:eastAsia="楷体_GB2312" w:hint="eastAsia"/>
          <w:color w:val="000000"/>
          <w:sz w:val="30"/>
          <w:szCs w:val="30"/>
        </w:rPr>
        <w:t>建立复试专业面试题库，面试过程中采取学生随机抽题的方式答题，保证学科知识点覆盖全面，保障出题的科学性。</w:t>
      </w:r>
      <w:r>
        <w:rPr>
          <w:rFonts w:ascii="楷体_GB2312" w:eastAsia="楷体_GB2312" w:hint="eastAsia"/>
          <w:color w:val="000000"/>
          <w:sz w:val="30"/>
          <w:szCs w:val="30"/>
        </w:rPr>
        <w:t>（3）</w:t>
      </w:r>
      <w:r w:rsidRPr="00852A03">
        <w:rPr>
          <w:rFonts w:ascii="楷体_GB2312" w:eastAsia="楷体_GB2312" w:hint="eastAsia"/>
          <w:color w:val="000000"/>
          <w:sz w:val="30"/>
          <w:szCs w:val="30"/>
        </w:rPr>
        <w:t>建立健全“随机确定考生复试次序”、“随机确定导师组组成人员”、“随机抽取复试试题”的“三随机”工作机制。</w:t>
      </w:r>
      <w:r>
        <w:rPr>
          <w:rFonts w:ascii="楷体_GB2312" w:eastAsia="楷体_GB2312" w:hint="eastAsia"/>
          <w:color w:val="000000"/>
          <w:sz w:val="30"/>
          <w:szCs w:val="30"/>
        </w:rPr>
        <w:t>（4）</w:t>
      </w:r>
      <w:r w:rsidRPr="00852A03">
        <w:rPr>
          <w:rFonts w:ascii="楷体_GB2312" w:eastAsia="楷体_GB2312" w:hint="eastAsia"/>
          <w:color w:val="000000"/>
          <w:sz w:val="30"/>
          <w:szCs w:val="30"/>
        </w:rPr>
        <w:t>每位考生复试时间原则上不少于20分钟，给考生充分表达的时间。</w:t>
      </w:r>
      <w:r>
        <w:rPr>
          <w:rFonts w:ascii="楷体_GB2312" w:eastAsia="楷体_GB2312" w:hint="eastAsia"/>
          <w:color w:val="000000"/>
          <w:sz w:val="30"/>
          <w:szCs w:val="30"/>
        </w:rPr>
        <w:t>（5）</w:t>
      </w:r>
      <w:r w:rsidRPr="00852A03">
        <w:rPr>
          <w:rFonts w:ascii="楷体_GB2312" w:eastAsia="楷体_GB2312" w:hint="eastAsia"/>
          <w:color w:val="000000"/>
          <w:sz w:val="30"/>
          <w:szCs w:val="30"/>
        </w:rPr>
        <w:t>每个复试小组由不少于5名教师和1名工作秘书组成，复试教师由研究生导师或具有副高及以上职称的教师或具有博士学位的教师组成，其中研究生导师不少于3人。</w:t>
      </w:r>
    </w:p>
    <w:p w14:paraId="6220A3E7" w14:textId="77777777" w:rsidR="003715A2" w:rsidRDefault="003715A2" w:rsidP="003715A2">
      <w:pPr>
        <w:widowControl/>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3.2</w:t>
      </w:r>
      <w:proofErr w:type="gramStart"/>
      <w:r>
        <w:rPr>
          <w:rFonts w:ascii="楷体_GB2312" w:eastAsia="楷体_GB2312" w:hint="eastAsia"/>
          <w:color w:val="000000"/>
          <w:sz w:val="30"/>
          <w:szCs w:val="30"/>
        </w:rPr>
        <w:t>思政教育</w:t>
      </w:r>
      <w:proofErr w:type="gramEnd"/>
    </w:p>
    <w:p w14:paraId="193CB6C7" w14:textId="77777777" w:rsidR="003715A2" w:rsidRPr="00852A03" w:rsidRDefault="003715A2" w:rsidP="003715A2">
      <w:pPr>
        <w:widowControl/>
        <w:spacing w:line="360" w:lineRule="auto"/>
        <w:ind w:firstLineChars="200" w:firstLine="600"/>
        <w:rPr>
          <w:rFonts w:ascii="楷体_GB2312" w:eastAsia="楷体_GB2312"/>
          <w:color w:val="000000"/>
          <w:sz w:val="30"/>
          <w:szCs w:val="30"/>
        </w:rPr>
      </w:pPr>
      <w:r w:rsidRPr="00843F15">
        <w:rPr>
          <w:rFonts w:ascii="楷体_GB2312" w:eastAsia="楷体_GB2312" w:hint="eastAsia"/>
          <w:color w:val="000000"/>
          <w:sz w:val="30"/>
          <w:szCs w:val="30"/>
        </w:rPr>
        <w:t>（1）“三全育人”改革，大统战为导向。本学位点所在的管理学院成立了“管理学院专业思政教育党建工作组”，增设了</w:t>
      </w:r>
      <w:proofErr w:type="gramStart"/>
      <w:r w:rsidRPr="00843F15">
        <w:rPr>
          <w:rFonts w:ascii="楷体_GB2312" w:eastAsia="楷体_GB2312" w:hint="eastAsia"/>
          <w:color w:val="000000"/>
          <w:sz w:val="30"/>
          <w:szCs w:val="30"/>
        </w:rPr>
        <w:t>专业思政课程</w:t>
      </w:r>
      <w:proofErr w:type="gramEnd"/>
      <w:r w:rsidRPr="00843F15">
        <w:rPr>
          <w:rFonts w:ascii="楷体_GB2312" w:eastAsia="楷体_GB2312" w:hint="eastAsia"/>
          <w:color w:val="000000"/>
          <w:sz w:val="30"/>
          <w:szCs w:val="30"/>
        </w:rPr>
        <w:t>，制定了《暨南大学管理学院“课程思政”实施方案》等，建立了“三心三促”、“理论思政-课程思政-实践思政”三位一体的</w:t>
      </w:r>
      <w:proofErr w:type="gramStart"/>
      <w:r w:rsidRPr="00843F15">
        <w:rPr>
          <w:rFonts w:ascii="楷体_GB2312" w:eastAsia="楷体_GB2312" w:hint="eastAsia"/>
          <w:color w:val="000000"/>
          <w:sz w:val="30"/>
          <w:szCs w:val="30"/>
        </w:rPr>
        <w:t>专业思政育人</w:t>
      </w:r>
      <w:proofErr w:type="gramEnd"/>
      <w:r w:rsidRPr="00843F15">
        <w:rPr>
          <w:rFonts w:ascii="楷体_GB2312" w:eastAsia="楷体_GB2312" w:hint="eastAsia"/>
          <w:color w:val="000000"/>
          <w:sz w:val="30"/>
          <w:szCs w:val="30"/>
        </w:rPr>
        <w:t>体系。结合侨</w:t>
      </w:r>
      <w:proofErr w:type="gramStart"/>
      <w:r w:rsidRPr="00843F15">
        <w:rPr>
          <w:rFonts w:ascii="楷体_GB2312" w:eastAsia="楷体_GB2312" w:hint="eastAsia"/>
          <w:color w:val="000000"/>
          <w:sz w:val="30"/>
          <w:szCs w:val="30"/>
        </w:rPr>
        <w:t>校特殊</w:t>
      </w:r>
      <w:proofErr w:type="gramEnd"/>
      <w:r w:rsidRPr="00843F15">
        <w:rPr>
          <w:rFonts w:ascii="楷体_GB2312" w:eastAsia="楷体_GB2312" w:hint="eastAsia"/>
          <w:color w:val="000000"/>
          <w:sz w:val="30"/>
          <w:szCs w:val="30"/>
        </w:rPr>
        <w:t>使命，以构建大统战为导向，培养新时代具有使命感的会计人才。（2）</w:t>
      </w:r>
      <w:proofErr w:type="gramStart"/>
      <w:r w:rsidRPr="00843F15">
        <w:rPr>
          <w:rFonts w:ascii="楷体_GB2312" w:eastAsia="楷体_GB2312" w:hint="eastAsia"/>
          <w:color w:val="000000"/>
          <w:sz w:val="30"/>
          <w:szCs w:val="30"/>
        </w:rPr>
        <w:t>课程思政改革</w:t>
      </w:r>
      <w:proofErr w:type="gramEnd"/>
      <w:r>
        <w:rPr>
          <w:rFonts w:ascii="楷体_GB2312" w:eastAsia="楷体_GB2312" w:hint="eastAsia"/>
          <w:color w:val="000000"/>
          <w:sz w:val="30"/>
          <w:szCs w:val="30"/>
        </w:rPr>
        <w:t>。</w:t>
      </w:r>
      <w:r w:rsidRPr="00843F15">
        <w:rPr>
          <w:rFonts w:ascii="楷体_GB2312" w:eastAsia="楷体_GB2312" w:hint="eastAsia"/>
          <w:color w:val="000000"/>
          <w:sz w:val="30"/>
          <w:szCs w:val="30"/>
        </w:rPr>
        <w:t>本学位点在教学研究及教学实践中，坚持将</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放到人才培</w:t>
      </w:r>
      <w:r w:rsidRPr="00843F15">
        <w:rPr>
          <w:rFonts w:ascii="楷体_GB2312" w:eastAsia="楷体_GB2312" w:hint="eastAsia"/>
          <w:color w:val="000000"/>
          <w:sz w:val="30"/>
          <w:szCs w:val="30"/>
        </w:rPr>
        <w:lastRenderedPageBreak/>
        <w:t>养的首位，实现</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和专业教育有机融合。</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不仅包括显性的课堂教学活动，还包括课堂教学活动中教师渗透的思想观念、价值观念等；不仅是专业知识和</w:t>
      </w:r>
      <w:proofErr w:type="gramStart"/>
      <w:r w:rsidRPr="00843F15">
        <w:rPr>
          <w:rFonts w:ascii="楷体_GB2312" w:eastAsia="楷体_GB2312" w:hint="eastAsia"/>
          <w:color w:val="000000"/>
          <w:sz w:val="30"/>
          <w:szCs w:val="30"/>
        </w:rPr>
        <w:t>思政教育</w:t>
      </w:r>
      <w:proofErr w:type="gramEnd"/>
      <w:r w:rsidRPr="00843F15">
        <w:rPr>
          <w:rFonts w:ascii="楷体_GB2312" w:eastAsia="楷体_GB2312" w:hint="eastAsia"/>
          <w:color w:val="000000"/>
          <w:sz w:val="30"/>
          <w:szCs w:val="30"/>
        </w:rPr>
        <w:t>的简单相加，还是在知识传授过程中，挖掘课程本身所蕴含的思想政治教育元素，再将其有机融入课堂教学之中；不仅注重培养学生的个人品德，帮助学生树立正确的道德观和价值观，而且还注重培养学生对国家经济政策的认同感，激发爱国主义情怀，从而帮助学生构建熟悉国家政策——认同国家政策——服务国家政策的基本逻辑思路。（3）意识形态管理，责任清单明确。管理学院与党总支书记、教工党支部书记</w:t>
      </w:r>
      <w:proofErr w:type="gramStart"/>
      <w:r w:rsidRPr="00843F15">
        <w:rPr>
          <w:rFonts w:ascii="楷体_GB2312" w:eastAsia="楷体_GB2312" w:hint="eastAsia"/>
          <w:color w:val="000000"/>
          <w:sz w:val="30"/>
          <w:szCs w:val="30"/>
        </w:rPr>
        <w:t>签定</w:t>
      </w:r>
      <w:proofErr w:type="gramEnd"/>
      <w:r w:rsidRPr="00843F15">
        <w:rPr>
          <w:rFonts w:ascii="楷体_GB2312" w:eastAsia="楷体_GB2312" w:hint="eastAsia"/>
          <w:color w:val="000000"/>
          <w:sz w:val="30"/>
          <w:szCs w:val="30"/>
        </w:rPr>
        <w:t>了“意识形态责任书”，与各系领导</w:t>
      </w:r>
      <w:proofErr w:type="gramStart"/>
      <w:r w:rsidRPr="00843F15">
        <w:rPr>
          <w:rFonts w:ascii="楷体_GB2312" w:eastAsia="楷体_GB2312" w:hint="eastAsia"/>
          <w:color w:val="000000"/>
          <w:sz w:val="30"/>
          <w:szCs w:val="30"/>
        </w:rPr>
        <w:t>签定</w:t>
      </w:r>
      <w:proofErr w:type="gramEnd"/>
      <w:r w:rsidRPr="00843F15">
        <w:rPr>
          <w:rFonts w:ascii="楷体_GB2312" w:eastAsia="楷体_GB2312" w:hint="eastAsia"/>
          <w:color w:val="000000"/>
          <w:sz w:val="30"/>
          <w:szCs w:val="30"/>
        </w:rPr>
        <w:t>了育人目标责任书，</w:t>
      </w:r>
      <w:proofErr w:type="gramStart"/>
      <w:r w:rsidRPr="00843F15">
        <w:rPr>
          <w:rFonts w:ascii="楷体_GB2312" w:eastAsia="楷体_GB2312" w:hint="eastAsia"/>
          <w:color w:val="000000"/>
          <w:sz w:val="30"/>
          <w:szCs w:val="30"/>
        </w:rPr>
        <w:t>将思政育人</w:t>
      </w:r>
      <w:proofErr w:type="gramEnd"/>
      <w:r w:rsidRPr="00843F15">
        <w:rPr>
          <w:rFonts w:ascii="楷体_GB2312" w:eastAsia="楷体_GB2312" w:hint="eastAsia"/>
          <w:color w:val="000000"/>
          <w:sz w:val="30"/>
          <w:szCs w:val="30"/>
        </w:rPr>
        <w:t>纳入考核体系。（4）基层党组织建设，“三心三促”实践。坚持“恒心促学”，理论学习不断线、“爱心育情”，育人服务补短板、“信心聚力”，合力育人创新实践。校长、学院党委书记、院长每学期初必上思政第一课，“恒心促学”大讲堂每学期开出2次以上。以“爱心育情”打造“服务型”育人团队，通过领导联系班集体、党委委员联系党支部、服务育人机制等，引导教工回归常识、回归本份、回归初心、回归梦想，培育教育报国情怀。（5）</w:t>
      </w:r>
      <w:proofErr w:type="gramStart"/>
      <w:r w:rsidRPr="00843F15">
        <w:rPr>
          <w:rFonts w:ascii="楷体_GB2312" w:eastAsia="楷体_GB2312" w:hint="eastAsia"/>
          <w:color w:val="000000"/>
          <w:sz w:val="30"/>
          <w:szCs w:val="30"/>
        </w:rPr>
        <w:t>思政师资</w:t>
      </w:r>
      <w:proofErr w:type="gramEnd"/>
      <w:r w:rsidRPr="00843F15">
        <w:rPr>
          <w:rFonts w:ascii="楷体_GB2312" w:eastAsia="楷体_GB2312" w:hint="eastAsia"/>
          <w:color w:val="000000"/>
          <w:sz w:val="30"/>
          <w:szCs w:val="30"/>
        </w:rPr>
        <w:t>队伍持续建设，奖惩扶助到位。教师、辅导员、管理人员以及校外实践导师等全员参与育人，建立台账，明晰责任清单；奖助体系上，管理学院提供专项经费，</w:t>
      </w:r>
      <w:proofErr w:type="gramStart"/>
      <w:r w:rsidRPr="00843F15">
        <w:rPr>
          <w:rFonts w:ascii="楷体_GB2312" w:eastAsia="楷体_GB2312" w:hint="eastAsia"/>
          <w:color w:val="000000"/>
          <w:sz w:val="30"/>
          <w:szCs w:val="30"/>
        </w:rPr>
        <w:t>资助思政育人</w:t>
      </w:r>
      <w:proofErr w:type="gramEnd"/>
      <w:r w:rsidRPr="00843F15">
        <w:rPr>
          <w:rFonts w:ascii="楷体_GB2312" w:eastAsia="楷体_GB2312" w:hint="eastAsia"/>
          <w:color w:val="000000"/>
          <w:sz w:val="30"/>
          <w:szCs w:val="30"/>
        </w:rPr>
        <w:t>研究，提升教师队伍</w:t>
      </w:r>
      <w:proofErr w:type="gramStart"/>
      <w:r w:rsidRPr="00843F15">
        <w:rPr>
          <w:rFonts w:ascii="楷体_GB2312" w:eastAsia="楷体_GB2312" w:hint="eastAsia"/>
          <w:color w:val="000000"/>
          <w:sz w:val="30"/>
          <w:szCs w:val="30"/>
        </w:rPr>
        <w:t>的思政育人</w:t>
      </w:r>
      <w:proofErr w:type="gramEnd"/>
      <w:r w:rsidRPr="00843F15">
        <w:rPr>
          <w:rFonts w:ascii="楷体_GB2312" w:eastAsia="楷体_GB2312" w:hint="eastAsia"/>
          <w:color w:val="000000"/>
          <w:sz w:val="30"/>
          <w:szCs w:val="30"/>
        </w:rPr>
        <w:t>能力。（6）社会实践开展，</w:t>
      </w:r>
      <w:proofErr w:type="gramStart"/>
      <w:r w:rsidRPr="00843F15">
        <w:rPr>
          <w:rFonts w:ascii="楷体_GB2312" w:eastAsia="楷体_GB2312" w:hint="eastAsia"/>
          <w:color w:val="000000"/>
          <w:sz w:val="30"/>
          <w:szCs w:val="30"/>
        </w:rPr>
        <w:t>思政共建</w:t>
      </w:r>
      <w:proofErr w:type="gramEnd"/>
      <w:r w:rsidRPr="00843F15">
        <w:rPr>
          <w:rFonts w:ascii="楷体_GB2312" w:eastAsia="楷体_GB2312" w:hint="eastAsia"/>
          <w:color w:val="000000"/>
          <w:sz w:val="30"/>
          <w:szCs w:val="30"/>
        </w:rPr>
        <w:t>平台构建。健全社会实践育人机制。与校友企</w:t>
      </w:r>
      <w:r w:rsidRPr="00843F15">
        <w:rPr>
          <w:rFonts w:ascii="楷体_GB2312" w:eastAsia="楷体_GB2312" w:hint="eastAsia"/>
          <w:color w:val="000000"/>
          <w:sz w:val="30"/>
          <w:szCs w:val="30"/>
        </w:rPr>
        <w:lastRenderedPageBreak/>
        <w:t>业、政府等建设了特色基地</w:t>
      </w:r>
      <w:proofErr w:type="gramStart"/>
      <w:r w:rsidRPr="00843F15">
        <w:rPr>
          <w:rFonts w:ascii="楷体_GB2312" w:eastAsia="楷体_GB2312" w:hint="eastAsia"/>
          <w:color w:val="000000"/>
          <w:sz w:val="30"/>
          <w:szCs w:val="30"/>
        </w:rPr>
        <w:t>和思政共建</w:t>
      </w:r>
      <w:proofErr w:type="gramEnd"/>
      <w:r w:rsidRPr="00843F15">
        <w:rPr>
          <w:rFonts w:ascii="楷体_GB2312" w:eastAsia="楷体_GB2312" w:hint="eastAsia"/>
          <w:color w:val="000000"/>
          <w:sz w:val="30"/>
          <w:szCs w:val="30"/>
        </w:rPr>
        <w:t>平台，以案例教学、模拟教学、实</w:t>
      </w:r>
      <w:proofErr w:type="gramStart"/>
      <w:r w:rsidRPr="00843F15">
        <w:rPr>
          <w:rFonts w:ascii="楷体_GB2312" w:eastAsia="楷体_GB2312" w:hint="eastAsia"/>
          <w:color w:val="000000"/>
          <w:sz w:val="30"/>
          <w:szCs w:val="30"/>
        </w:rPr>
        <w:t>训教学</w:t>
      </w:r>
      <w:proofErr w:type="gramEnd"/>
      <w:r w:rsidRPr="00843F15">
        <w:rPr>
          <w:rFonts w:ascii="楷体_GB2312" w:eastAsia="楷体_GB2312" w:hint="eastAsia"/>
          <w:color w:val="000000"/>
          <w:sz w:val="30"/>
          <w:szCs w:val="30"/>
        </w:rPr>
        <w:t>等方式开展课程思政；以移动课堂、模拟大赛、企业家论坛、社区活动、</w:t>
      </w:r>
      <w:proofErr w:type="gramStart"/>
      <w:r w:rsidRPr="00843F15">
        <w:rPr>
          <w:rFonts w:ascii="楷体_GB2312" w:eastAsia="楷体_GB2312" w:hint="eastAsia"/>
          <w:color w:val="000000"/>
          <w:sz w:val="30"/>
          <w:szCs w:val="30"/>
        </w:rPr>
        <w:t>名企知行</w:t>
      </w:r>
      <w:proofErr w:type="gramEnd"/>
      <w:r w:rsidRPr="00843F15">
        <w:rPr>
          <w:rFonts w:ascii="楷体_GB2312" w:eastAsia="楷体_GB2312" w:hint="eastAsia"/>
          <w:color w:val="000000"/>
          <w:sz w:val="30"/>
          <w:szCs w:val="30"/>
        </w:rPr>
        <w:t>团等方式开展实践思政；以党建带团建，深入挖掘各类资源的育人元素。形成全社会多维度育人体系，实现全方位育人合</w:t>
      </w:r>
      <w:r>
        <w:rPr>
          <w:rFonts w:ascii="楷体_GB2312" w:eastAsia="楷体_GB2312" w:hint="eastAsia"/>
          <w:color w:val="000000"/>
          <w:sz w:val="30"/>
          <w:szCs w:val="30"/>
        </w:rPr>
        <w:t>力</w:t>
      </w:r>
      <w:r w:rsidRPr="00843F15">
        <w:rPr>
          <w:rFonts w:ascii="楷体_GB2312" w:eastAsia="楷体_GB2312" w:hint="eastAsia"/>
          <w:color w:val="000000"/>
          <w:sz w:val="30"/>
          <w:szCs w:val="30"/>
        </w:rPr>
        <w:t>化。</w:t>
      </w:r>
    </w:p>
    <w:p w14:paraId="493CAC4F"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3.3课程教学</w:t>
      </w:r>
    </w:p>
    <w:p w14:paraId="37AB3F7F" w14:textId="77777777" w:rsidR="003715A2" w:rsidRPr="00DE7775" w:rsidRDefault="003715A2" w:rsidP="003715A2">
      <w:pPr>
        <w:spacing w:line="480" w:lineRule="exact"/>
        <w:ind w:firstLineChars="200" w:firstLine="600"/>
        <w:rPr>
          <w:rFonts w:ascii="楷体_GB2312" w:eastAsia="楷体_GB2312"/>
          <w:color w:val="000000"/>
          <w:sz w:val="30"/>
          <w:szCs w:val="30"/>
        </w:rPr>
      </w:pPr>
      <w:r w:rsidRPr="00DE7775">
        <w:rPr>
          <w:rFonts w:ascii="楷体_GB2312" w:eastAsia="楷体_GB2312"/>
          <w:color w:val="000000"/>
          <w:sz w:val="30"/>
          <w:szCs w:val="30"/>
        </w:rPr>
        <w:t>根据暨南大学会计硕士专业学位研究生培养方案，顺应经济发展需要，本学位点设置了</w:t>
      </w:r>
      <w:r w:rsidRPr="00DE7775">
        <w:rPr>
          <w:rFonts w:ascii="楷体_GB2312" w:eastAsia="楷体_GB2312" w:hint="eastAsia"/>
          <w:color w:val="000000"/>
          <w:sz w:val="30"/>
          <w:szCs w:val="30"/>
        </w:rPr>
        <w:t>多门主要</w:t>
      </w:r>
      <w:r w:rsidRPr="00DE7775">
        <w:rPr>
          <w:rFonts w:ascii="楷体_GB2312" w:eastAsia="楷体_GB2312"/>
          <w:color w:val="000000"/>
          <w:sz w:val="30"/>
          <w:szCs w:val="30"/>
        </w:rPr>
        <w:t>课程，均由</w:t>
      </w:r>
      <w:r w:rsidRPr="00DE7775">
        <w:rPr>
          <w:rFonts w:ascii="楷体_GB2312" w:eastAsia="楷体_GB2312" w:hint="eastAsia"/>
          <w:color w:val="000000"/>
          <w:sz w:val="30"/>
          <w:szCs w:val="30"/>
        </w:rPr>
        <w:t>本学位点</w:t>
      </w:r>
      <w:r w:rsidRPr="00DE7775">
        <w:rPr>
          <w:rFonts w:ascii="楷体_GB2312" w:eastAsia="楷体_GB2312"/>
          <w:color w:val="000000"/>
          <w:sz w:val="30"/>
          <w:szCs w:val="30"/>
        </w:rPr>
        <w:t>的师资授课。</w:t>
      </w:r>
    </w:p>
    <w:p w14:paraId="3FAFBB16" w14:textId="77777777" w:rsidR="003715A2" w:rsidRPr="00DE7775" w:rsidRDefault="003715A2" w:rsidP="003715A2">
      <w:pPr>
        <w:spacing w:line="480" w:lineRule="exact"/>
        <w:jc w:val="center"/>
        <w:rPr>
          <w:rFonts w:ascii="楷体_GB2312" w:eastAsia="楷体_GB2312"/>
          <w:color w:val="000000"/>
          <w:sz w:val="30"/>
          <w:szCs w:val="30"/>
        </w:rPr>
      </w:pPr>
      <w:r w:rsidRPr="00DE7775">
        <w:rPr>
          <w:rFonts w:ascii="楷体_GB2312" w:eastAsia="楷体_GB2312"/>
          <w:color w:val="000000"/>
          <w:sz w:val="30"/>
          <w:szCs w:val="30"/>
        </w:rPr>
        <w:t xml:space="preserve">表 </w:t>
      </w:r>
      <w:r w:rsidRPr="00DE7775">
        <w:rPr>
          <w:rFonts w:ascii="楷体_GB2312" w:eastAsia="楷体_GB2312" w:hint="eastAsia"/>
          <w:color w:val="000000"/>
          <w:sz w:val="30"/>
          <w:szCs w:val="30"/>
        </w:rPr>
        <w:t>主要</w:t>
      </w:r>
      <w:r w:rsidRPr="00DE7775">
        <w:rPr>
          <w:rFonts w:ascii="楷体_GB2312" w:eastAsia="楷体_GB2312"/>
          <w:color w:val="000000"/>
          <w:sz w:val="30"/>
          <w:szCs w:val="30"/>
        </w:rPr>
        <w:t>课程</w:t>
      </w:r>
    </w:p>
    <w:p w14:paraId="53A90D90" w14:textId="77777777" w:rsidR="003715A2" w:rsidRDefault="003715A2" w:rsidP="003715A2">
      <w:pPr>
        <w:spacing w:line="540" w:lineRule="exact"/>
        <w:ind w:firstLineChars="200" w:firstLine="600"/>
        <w:rPr>
          <w:rFonts w:ascii="楷体_GB2312" w:eastAsia="楷体_GB2312"/>
          <w:color w:val="000000"/>
          <w:sz w:val="30"/>
          <w:szCs w:val="30"/>
        </w:rPr>
      </w:pP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5344"/>
      </w:tblGrid>
      <w:tr w:rsidR="003715A2" w14:paraId="7865A817" w14:textId="77777777" w:rsidTr="005754EE">
        <w:tc>
          <w:tcPr>
            <w:tcW w:w="3019" w:type="dxa"/>
            <w:shd w:val="clear" w:color="auto" w:fill="auto"/>
          </w:tcPr>
          <w:p w14:paraId="177A2D99" w14:textId="77777777" w:rsidR="003715A2" w:rsidRDefault="003715A2" w:rsidP="005754EE">
            <w:pPr>
              <w:jc w:val="center"/>
              <w:rPr>
                <w:rFonts w:ascii="楷体_GB2312" w:eastAsia="楷体_GB2312"/>
                <w:color w:val="000000"/>
                <w:sz w:val="30"/>
                <w:szCs w:val="30"/>
              </w:rPr>
            </w:pPr>
            <w:r>
              <w:rPr>
                <w:rFonts w:ascii="楷体_GB2312" w:eastAsia="楷体_GB2312"/>
                <w:color w:val="000000"/>
                <w:sz w:val="30"/>
                <w:szCs w:val="30"/>
              </w:rPr>
              <w:t>课程名称</w:t>
            </w:r>
          </w:p>
        </w:tc>
        <w:tc>
          <w:tcPr>
            <w:tcW w:w="5344" w:type="dxa"/>
            <w:shd w:val="clear" w:color="auto" w:fill="auto"/>
          </w:tcPr>
          <w:p w14:paraId="453409B8"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课程组</w:t>
            </w:r>
            <w:r>
              <w:rPr>
                <w:rFonts w:ascii="楷体_GB2312" w:eastAsia="楷体_GB2312"/>
                <w:color w:val="000000"/>
                <w:sz w:val="30"/>
                <w:szCs w:val="30"/>
              </w:rPr>
              <w:t>教师</w:t>
            </w:r>
          </w:p>
        </w:tc>
      </w:tr>
      <w:tr w:rsidR="003715A2" w14:paraId="241511E2" w14:textId="77777777" w:rsidTr="005754EE">
        <w:tc>
          <w:tcPr>
            <w:tcW w:w="3019" w:type="dxa"/>
            <w:shd w:val="clear" w:color="auto" w:fill="auto"/>
          </w:tcPr>
          <w:p w14:paraId="6EEE68CC"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财务管理理论与实务</w:t>
            </w:r>
          </w:p>
        </w:tc>
        <w:tc>
          <w:tcPr>
            <w:tcW w:w="5344" w:type="dxa"/>
            <w:shd w:val="clear" w:color="auto" w:fill="auto"/>
          </w:tcPr>
          <w:p w14:paraId="4B37506C"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朱滔、谭跃、樊莹、饶品贵、易兰、吴战</w:t>
            </w:r>
            <w:proofErr w:type="gramStart"/>
            <w:r>
              <w:rPr>
                <w:rFonts w:ascii="楷体_GB2312" w:eastAsia="楷体_GB2312" w:hint="eastAsia"/>
                <w:color w:val="000000"/>
                <w:sz w:val="30"/>
                <w:szCs w:val="30"/>
              </w:rPr>
              <w:t>篪</w:t>
            </w:r>
            <w:proofErr w:type="gramEnd"/>
          </w:p>
        </w:tc>
      </w:tr>
      <w:tr w:rsidR="003715A2" w14:paraId="58387D81" w14:textId="77777777" w:rsidTr="005754EE">
        <w:tc>
          <w:tcPr>
            <w:tcW w:w="3019" w:type="dxa"/>
            <w:shd w:val="clear" w:color="auto" w:fill="auto"/>
          </w:tcPr>
          <w:p w14:paraId="575BCBFD"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财务会计理论与实务</w:t>
            </w:r>
          </w:p>
        </w:tc>
        <w:tc>
          <w:tcPr>
            <w:tcW w:w="5344" w:type="dxa"/>
            <w:shd w:val="clear" w:color="auto" w:fill="auto"/>
          </w:tcPr>
          <w:p w14:paraId="77AD8E49"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石本仁、谭小平、窦欢、曾亚敏、李晓溪</w:t>
            </w:r>
          </w:p>
        </w:tc>
      </w:tr>
      <w:tr w:rsidR="003715A2" w14:paraId="5958DC46" w14:textId="77777777" w:rsidTr="005754EE">
        <w:tc>
          <w:tcPr>
            <w:tcW w:w="3019" w:type="dxa"/>
            <w:shd w:val="clear" w:color="auto" w:fill="auto"/>
          </w:tcPr>
          <w:p w14:paraId="0A33A8CA"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管理会计理论与实务</w:t>
            </w:r>
          </w:p>
        </w:tc>
        <w:tc>
          <w:tcPr>
            <w:tcW w:w="5344" w:type="dxa"/>
            <w:shd w:val="clear" w:color="auto" w:fill="auto"/>
          </w:tcPr>
          <w:p w14:paraId="7ADF0893"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卢馨、韩晴、齐珺、池勤伟</w:t>
            </w:r>
          </w:p>
        </w:tc>
      </w:tr>
      <w:tr w:rsidR="003715A2" w14:paraId="6C399734" w14:textId="77777777" w:rsidTr="005754EE">
        <w:tc>
          <w:tcPr>
            <w:tcW w:w="3019" w:type="dxa"/>
            <w:shd w:val="clear" w:color="auto" w:fill="auto"/>
          </w:tcPr>
          <w:p w14:paraId="4107406C"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审计理论与实务</w:t>
            </w:r>
          </w:p>
        </w:tc>
        <w:tc>
          <w:tcPr>
            <w:tcW w:w="5344" w:type="dxa"/>
            <w:shd w:val="clear" w:color="auto" w:fill="auto"/>
          </w:tcPr>
          <w:p w14:paraId="4E3F44A7"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石水平、郭葆春</w:t>
            </w:r>
          </w:p>
        </w:tc>
      </w:tr>
      <w:tr w:rsidR="003715A2" w14:paraId="6539B941" w14:textId="77777777" w:rsidTr="005754EE">
        <w:tc>
          <w:tcPr>
            <w:tcW w:w="3019" w:type="dxa"/>
            <w:shd w:val="clear" w:color="auto" w:fill="auto"/>
          </w:tcPr>
          <w:p w14:paraId="786A8C3D"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财务报表分析</w:t>
            </w:r>
          </w:p>
        </w:tc>
        <w:tc>
          <w:tcPr>
            <w:tcW w:w="5344" w:type="dxa"/>
            <w:shd w:val="clear" w:color="auto" w:fill="auto"/>
          </w:tcPr>
          <w:p w14:paraId="2A930529"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胡玉明、黎文靖、饶品贵、刘莎莎</w:t>
            </w:r>
          </w:p>
        </w:tc>
      </w:tr>
      <w:tr w:rsidR="003715A2" w14:paraId="251F2D85" w14:textId="77777777" w:rsidTr="005754EE">
        <w:tc>
          <w:tcPr>
            <w:tcW w:w="3019" w:type="dxa"/>
            <w:shd w:val="clear" w:color="auto" w:fill="auto"/>
          </w:tcPr>
          <w:p w14:paraId="7284D7C4"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内部控制理论与实务</w:t>
            </w:r>
          </w:p>
        </w:tc>
        <w:tc>
          <w:tcPr>
            <w:tcW w:w="5344" w:type="dxa"/>
            <w:shd w:val="clear" w:color="auto" w:fill="auto"/>
          </w:tcPr>
          <w:p w14:paraId="6D565C48"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白华、杨德明</w:t>
            </w:r>
          </w:p>
        </w:tc>
      </w:tr>
      <w:tr w:rsidR="003715A2" w14:paraId="792E9D5C" w14:textId="77777777" w:rsidTr="005754EE">
        <w:tc>
          <w:tcPr>
            <w:tcW w:w="3019" w:type="dxa"/>
            <w:shd w:val="clear" w:color="auto" w:fill="auto"/>
          </w:tcPr>
          <w:p w14:paraId="3822086E"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公司治理</w:t>
            </w:r>
          </w:p>
        </w:tc>
        <w:tc>
          <w:tcPr>
            <w:tcW w:w="5344" w:type="dxa"/>
            <w:shd w:val="clear" w:color="auto" w:fill="auto"/>
          </w:tcPr>
          <w:p w14:paraId="0CAA37E2"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肖继辉、黄文锋</w:t>
            </w:r>
          </w:p>
        </w:tc>
      </w:tr>
      <w:tr w:rsidR="003715A2" w14:paraId="42B187A7" w14:textId="77777777" w:rsidTr="005754EE">
        <w:tc>
          <w:tcPr>
            <w:tcW w:w="3019" w:type="dxa"/>
            <w:shd w:val="clear" w:color="auto" w:fill="auto"/>
          </w:tcPr>
          <w:p w14:paraId="0C57BE79"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中国税制</w:t>
            </w:r>
          </w:p>
        </w:tc>
        <w:tc>
          <w:tcPr>
            <w:tcW w:w="5344" w:type="dxa"/>
            <w:shd w:val="clear" w:color="auto" w:fill="auto"/>
          </w:tcPr>
          <w:p w14:paraId="1D32D8BD"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王丹舟、沈肇章、张珊</w:t>
            </w:r>
          </w:p>
        </w:tc>
      </w:tr>
      <w:tr w:rsidR="003715A2" w14:paraId="0BE4D40A" w14:textId="77777777" w:rsidTr="005754EE">
        <w:tc>
          <w:tcPr>
            <w:tcW w:w="3019" w:type="dxa"/>
            <w:shd w:val="clear" w:color="auto" w:fill="auto"/>
          </w:tcPr>
          <w:p w14:paraId="2FADE5F7"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商业伦理与职业道德</w:t>
            </w:r>
          </w:p>
        </w:tc>
        <w:tc>
          <w:tcPr>
            <w:tcW w:w="5344" w:type="dxa"/>
            <w:shd w:val="clear" w:color="auto" w:fill="auto"/>
          </w:tcPr>
          <w:p w14:paraId="3D5BF578"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沈洪涛、吴战</w:t>
            </w:r>
            <w:proofErr w:type="gramStart"/>
            <w:r>
              <w:rPr>
                <w:rFonts w:ascii="楷体_GB2312" w:eastAsia="楷体_GB2312" w:hint="eastAsia"/>
                <w:color w:val="000000"/>
                <w:sz w:val="30"/>
                <w:szCs w:val="30"/>
              </w:rPr>
              <w:t>篪</w:t>
            </w:r>
            <w:proofErr w:type="gramEnd"/>
            <w:r>
              <w:rPr>
                <w:rFonts w:ascii="楷体_GB2312" w:eastAsia="楷体_GB2312" w:hint="eastAsia"/>
                <w:color w:val="000000"/>
                <w:sz w:val="30"/>
                <w:szCs w:val="30"/>
              </w:rPr>
              <w:t>、潘敏虹、黄微平</w:t>
            </w:r>
          </w:p>
        </w:tc>
      </w:tr>
      <w:tr w:rsidR="003715A2" w14:paraId="611F1D47" w14:textId="77777777" w:rsidTr="005754EE">
        <w:tc>
          <w:tcPr>
            <w:tcW w:w="3019" w:type="dxa"/>
            <w:shd w:val="clear" w:color="auto" w:fill="auto"/>
          </w:tcPr>
          <w:p w14:paraId="64A73622"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lastRenderedPageBreak/>
              <w:t>会计大数据管理分析</w:t>
            </w:r>
          </w:p>
        </w:tc>
        <w:tc>
          <w:tcPr>
            <w:tcW w:w="5344" w:type="dxa"/>
            <w:shd w:val="clear" w:color="auto" w:fill="auto"/>
          </w:tcPr>
          <w:p w14:paraId="7DD4A086" w14:textId="77777777" w:rsidR="003715A2" w:rsidRDefault="003715A2" w:rsidP="005754EE">
            <w:pPr>
              <w:jc w:val="center"/>
              <w:rPr>
                <w:rFonts w:ascii="楷体_GB2312" w:eastAsia="楷体_GB2312"/>
                <w:color w:val="000000"/>
                <w:sz w:val="30"/>
                <w:szCs w:val="30"/>
              </w:rPr>
            </w:pPr>
            <w:r>
              <w:rPr>
                <w:rFonts w:ascii="楷体_GB2312" w:eastAsia="楷体_GB2312" w:hint="eastAsia"/>
                <w:color w:val="000000"/>
                <w:sz w:val="30"/>
                <w:szCs w:val="30"/>
              </w:rPr>
              <w:t>谭有超、王新路</w:t>
            </w:r>
          </w:p>
        </w:tc>
      </w:tr>
    </w:tbl>
    <w:p w14:paraId="01B31C84" w14:textId="77777777" w:rsidR="003715A2" w:rsidRPr="00255867" w:rsidRDefault="003715A2" w:rsidP="003715A2">
      <w:pPr>
        <w:spacing w:line="360" w:lineRule="auto"/>
        <w:ind w:firstLineChars="200" w:firstLine="600"/>
        <w:rPr>
          <w:rFonts w:ascii="楷体_GB2312" w:eastAsia="楷体_GB2312"/>
          <w:color w:val="000000"/>
          <w:sz w:val="30"/>
          <w:szCs w:val="30"/>
        </w:rPr>
      </w:pPr>
      <w:r w:rsidRPr="00255867">
        <w:rPr>
          <w:rFonts w:ascii="楷体_GB2312" w:eastAsia="楷体_GB2312" w:hint="eastAsia"/>
          <w:color w:val="000000"/>
          <w:sz w:val="30"/>
          <w:szCs w:val="30"/>
        </w:rPr>
        <w:t>为提高</w:t>
      </w:r>
      <w:proofErr w:type="spellStart"/>
      <w:r w:rsidRPr="00255867">
        <w:rPr>
          <w:rFonts w:ascii="楷体_GB2312" w:eastAsia="楷体_GB2312"/>
          <w:color w:val="000000"/>
          <w:sz w:val="30"/>
          <w:szCs w:val="30"/>
        </w:rPr>
        <w:t>MPAcc</w:t>
      </w:r>
      <w:proofErr w:type="spellEnd"/>
      <w:r w:rsidRPr="00255867">
        <w:rPr>
          <w:rFonts w:ascii="楷体_GB2312" w:eastAsia="楷体_GB2312" w:hint="eastAsia"/>
          <w:color w:val="000000"/>
          <w:sz w:val="30"/>
          <w:szCs w:val="30"/>
        </w:rPr>
        <w:t>教学质量，本学位点制订了《暨南大学</w:t>
      </w:r>
      <w:proofErr w:type="spellStart"/>
      <w:r w:rsidRPr="00255867">
        <w:rPr>
          <w:rFonts w:ascii="楷体_GB2312" w:eastAsia="楷体_GB2312"/>
          <w:color w:val="000000"/>
          <w:sz w:val="30"/>
          <w:szCs w:val="30"/>
        </w:rPr>
        <w:t>MPAcc</w:t>
      </w:r>
      <w:proofErr w:type="spellEnd"/>
      <w:r w:rsidRPr="00255867">
        <w:rPr>
          <w:rFonts w:ascii="楷体_GB2312" w:eastAsia="楷体_GB2312" w:hint="eastAsia"/>
          <w:color w:val="000000"/>
          <w:sz w:val="30"/>
          <w:szCs w:val="30"/>
        </w:rPr>
        <w:t>教学质量评价实施办法》，并于</w:t>
      </w:r>
      <w:r w:rsidRPr="00255867">
        <w:rPr>
          <w:rFonts w:ascii="楷体_GB2312" w:eastAsia="楷体_GB2312"/>
          <w:color w:val="000000"/>
          <w:sz w:val="30"/>
          <w:szCs w:val="30"/>
        </w:rPr>
        <w:t>2007</w:t>
      </w:r>
      <w:r w:rsidRPr="00255867">
        <w:rPr>
          <w:rFonts w:ascii="楷体_GB2312" w:eastAsia="楷体_GB2312" w:hint="eastAsia"/>
          <w:color w:val="000000"/>
          <w:sz w:val="30"/>
          <w:szCs w:val="30"/>
        </w:rPr>
        <w:t>年</w:t>
      </w:r>
      <w:r w:rsidRPr="00255867">
        <w:rPr>
          <w:rFonts w:ascii="楷体_GB2312" w:eastAsia="楷体_GB2312"/>
          <w:color w:val="000000"/>
          <w:sz w:val="30"/>
          <w:szCs w:val="30"/>
        </w:rPr>
        <w:t>3</w:t>
      </w:r>
      <w:r w:rsidRPr="00255867">
        <w:rPr>
          <w:rFonts w:ascii="楷体_GB2312" w:eastAsia="楷体_GB2312" w:hint="eastAsia"/>
          <w:color w:val="000000"/>
          <w:sz w:val="30"/>
          <w:szCs w:val="30"/>
        </w:rPr>
        <w:t>月起开始实施。</w:t>
      </w:r>
      <w:proofErr w:type="spellStart"/>
      <w:r w:rsidRPr="00255867">
        <w:rPr>
          <w:rFonts w:ascii="楷体_GB2312" w:eastAsia="楷体_GB2312"/>
          <w:color w:val="000000"/>
          <w:sz w:val="30"/>
          <w:szCs w:val="30"/>
        </w:rPr>
        <w:t>MPAcc</w:t>
      </w:r>
      <w:proofErr w:type="spellEnd"/>
      <w:r w:rsidRPr="00255867">
        <w:rPr>
          <w:rFonts w:ascii="楷体_GB2312" w:eastAsia="楷体_GB2312" w:hint="eastAsia"/>
          <w:color w:val="000000"/>
          <w:sz w:val="30"/>
          <w:szCs w:val="30"/>
        </w:rPr>
        <w:t>研究生按照教学评估卡的要求，对任课教师的授课情况进行定量评价和提出意见。对授课教师和课程的定量评价，从</w:t>
      </w:r>
      <w:r w:rsidRPr="00255867">
        <w:rPr>
          <w:rFonts w:ascii="楷体_GB2312" w:eastAsia="楷体_GB2312"/>
          <w:color w:val="000000"/>
          <w:sz w:val="30"/>
          <w:szCs w:val="30"/>
        </w:rPr>
        <w:t>“</w:t>
      </w:r>
      <w:r w:rsidRPr="00255867">
        <w:rPr>
          <w:rFonts w:ascii="楷体_GB2312" w:eastAsia="楷体_GB2312" w:hint="eastAsia"/>
          <w:color w:val="000000"/>
          <w:sz w:val="30"/>
          <w:szCs w:val="30"/>
        </w:rPr>
        <w:t>学习成果</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组织和表达</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案例分析</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课上交流</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个别辅导</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激发学习兴趣</w:t>
      </w:r>
      <w:r w:rsidRPr="00255867">
        <w:rPr>
          <w:rFonts w:ascii="楷体_GB2312" w:eastAsia="楷体_GB2312"/>
          <w:color w:val="000000"/>
          <w:sz w:val="30"/>
          <w:szCs w:val="30"/>
        </w:rPr>
        <w:t>”</w:t>
      </w:r>
      <w:r w:rsidRPr="00255867">
        <w:rPr>
          <w:rFonts w:ascii="楷体_GB2312" w:eastAsia="楷体_GB2312" w:hint="eastAsia"/>
          <w:color w:val="000000"/>
          <w:sz w:val="30"/>
          <w:szCs w:val="30"/>
        </w:rPr>
        <w:t>、</w:t>
      </w:r>
      <w:r w:rsidRPr="00255867">
        <w:rPr>
          <w:rFonts w:ascii="楷体_GB2312" w:eastAsia="楷体_GB2312"/>
          <w:color w:val="000000"/>
          <w:sz w:val="30"/>
          <w:szCs w:val="30"/>
        </w:rPr>
        <w:t>“</w:t>
      </w:r>
      <w:r w:rsidRPr="00255867">
        <w:rPr>
          <w:rFonts w:ascii="楷体_GB2312" w:eastAsia="楷体_GB2312" w:hint="eastAsia"/>
          <w:color w:val="000000"/>
          <w:sz w:val="30"/>
          <w:szCs w:val="30"/>
        </w:rPr>
        <w:t>反馈</w:t>
      </w:r>
      <w:r w:rsidRPr="00255867">
        <w:rPr>
          <w:rFonts w:ascii="楷体_GB2312" w:eastAsia="楷体_GB2312"/>
          <w:color w:val="000000"/>
          <w:sz w:val="30"/>
          <w:szCs w:val="30"/>
        </w:rPr>
        <w:t>”</w:t>
      </w:r>
      <w:r w:rsidRPr="00255867">
        <w:rPr>
          <w:rFonts w:ascii="楷体_GB2312" w:eastAsia="楷体_GB2312" w:hint="eastAsia"/>
          <w:color w:val="000000"/>
          <w:sz w:val="30"/>
          <w:szCs w:val="30"/>
        </w:rPr>
        <w:t>和</w:t>
      </w:r>
      <w:r w:rsidRPr="00255867">
        <w:rPr>
          <w:rFonts w:ascii="楷体_GB2312" w:eastAsia="楷体_GB2312"/>
          <w:color w:val="000000"/>
          <w:sz w:val="30"/>
          <w:szCs w:val="30"/>
        </w:rPr>
        <w:t>“</w:t>
      </w:r>
      <w:r w:rsidRPr="00255867">
        <w:rPr>
          <w:rFonts w:ascii="楷体_GB2312" w:eastAsia="楷体_GB2312" w:hint="eastAsia"/>
          <w:color w:val="000000"/>
          <w:sz w:val="30"/>
          <w:szCs w:val="30"/>
        </w:rPr>
        <w:t>工作态度与专业性</w:t>
      </w:r>
      <w:r w:rsidRPr="00255867">
        <w:rPr>
          <w:rFonts w:ascii="楷体_GB2312" w:eastAsia="楷体_GB2312"/>
          <w:color w:val="000000"/>
          <w:sz w:val="30"/>
          <w:szCs w:val="30"/>
        </w:rPr>
        <w:t>”</w:t>
      </w:r>
      <w:r w:rsidRPr="00255867">
        <w:rPr>
          <w:rFonts w:ascii="楷体_GB2312" w:eastAsia="楷体_GB2312" w:hint="eastAsia"/>
          <w:color w:val="000000"/>
          <w:sz w:val="30"/>
          <w:szCs w:val="30"/>
        </w:rPr>
        <w:t>等方面各个指标进行评分，最后统计出总平均分。对评分较高的教师，本学位点给予嘉奖。对评分较低的授课教师，本学位点将暂停其授课资格，敦促其整改教学工作，整改后，经本学位点研究同意后恢复其授课资格，若评估总平均</w:t>
      </w:r>
      <w:proofErr w:type="gramStart"/>
      <w:r w:rsidRPr="00255867">
        <w:rPr>
          <w:rFonts w:ascii="楷体_GB2312" w:eastAsia="楷体_GB2312" w:hint="eastAsia"/>
          <w:color w:val="000000"/>
          <w:sz w:val="30"/>
          <w:szCs w:val="30"/>
        </w:rPr>
        <w:t>分再次</w:t>
      </w:r>
      <w:proofErr w:type="gramEnd"/>
      <w:r w:rsidRPr="00255867">
        <w:rPr>
          <w:rFonts w:ascii="楷体_GB2312" w:eastAsia="楷体_GB2312" w:hint="eastAsia"/>
          <w:color w:val="000000"/>
          <w:sz w:val="30"/>
          <w:szCs w:val="30"/>
        </w:rPr>
        <w:t>低于规定数值，本学位点不再聘请其授课。暨南大学会计</w:t>
      </w:r>
      <w:proofErr w:type="gramStart"/>
      <w:r>
        <w:rPr>
          <w:rFonts w:ascii="楷体_GB2312" w:eastAsia="楷体_GB2312" w:hint="eastAsia"/>
          <w:color w:val="000000"/>
          <w:sz w:val="30"/>
          <w:szCs w:val="30"/>
        </w:rPr>
        <w:t>审计教指委</w:t>
      </w:r>
      <w:proofErr w:type="gramEnd"/>
      <w:r w:rsidRPr="00255867">
        <w:rPr>
          <w:rFonts w:ascii="楷体_GB2312" w:eastAsia="楷体_GB2312" w:hint="eastAsia"/>
          <w:color w:val="000000"/>
          <w:sz w:val="30"/>
          <w:szCs w:val="30"/>
        </w:rPr>
        <w:t>不定期组织听课，对授课教师提出改进意见。</w:t>
      </w:r>
      <w:r>
        <w:rPr>
          <w:rFonts w:ascii="楷体_GB2312" w:eastAsia="楷体_GB2312" w:hint="eastAsia"/>
          <w:color w:val="000000"/>
          <w:sz w:val="30"/>
          <w:szCs w:val="30"/>
        </w:rPr>
        <w:t>暨南大学会计硕士</w:t>
      </w:r>
      <w:r w:rsidRPr="00255867">
        <w:rPr>
          <w:rFonts w:ascii="楷体_GB2312" w:eastAsia="楷体_GB2312" w:hint="eastAsia"/>
          <w:color w:val="000000"/>
          <w:sz w:val="30"/>
          <w:szCs w:val="30"/>
        </w:rPr>
        <w:t>教育中心还组织授课教师召开经验交流会，互相探讨实际教学中出现的问题，并探究提升教学质量的方法。</w:t>
      </w:r>
    </w:p>
    <w:p w14:paraId="4F59A0C2" w14:textId="77777777" w:rsidR="003715A2" w:rsidRDefault="003715A2" w:rsidP="003715A2">
      <w:pPr>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3.4导师指导</w:t>
      </w:r>
    </w:p>
    <w:p w14:paraId="3C792425" w14:textId="77777777" w:rsidR="003715A2" w:rsidRPr="00B97859" w:rsidRDefault="003715A2" w:rsidP="003715A2">
      <w:pPr>
        <w:spacing w:line="360" w:lineRule="auto"/>
        <w:ind w:firstLineChars="200" w:firstLine="600"/>
        <w:rPr>
          <w:rFonts w:ascii="楷体_GB2312" w:eastAsia="楷体_GB2312"/>
          <w:color w:val="000000"/>
          <w:sz w:val="30"/>
          <w:szCs w:val="30"/>
        </w:rPr>
      </w:pPr>
      <w:r w:rsidRPr="00B97859">
        <w:rPr>
          <w:rFonts w:ascii="楷体_GB2312" w:eastAsia="楷体_GB2312" w:hint="eastAsia"/>
          <w:color w:val="000000"/>
          <w:sz w:val="30"/>
          <w:szCs w:val="30"/>
        </w:rPr>
        <w:t>根据《暨南大学研究生指导教师遴选与认定办法》</w:t>
      </w:r>
      <w:r w:rsidRPr="00B97859">
        <w:rPr>
          <w:rFonts w:ascii="楷体_GB2312" w:eastAsia="楷体_GB2312"/>
          <w:color w:val="000000"/>
          <w:sz w:val="30"/>
          <w:szCs w:val="30"/>
        </w:rPr>
        <w:t>(暨学位〔2017〕33号)</w:t>
      </w:r>
      <w:r w:rsidRPr="00B97859">
        <w:rPr>
          <w:rFonts w:ascii="楷体_GB2312" w:eastAsia="楷体_GB2312" w:hint="eastAsia"/>
          <w:color w:val="000000"/>
          <w:sz w:val="30"/>
          <w:szCs w:val="30"/>
        </w:rPr>
        <w:t>和</w:t>
      </w:r>
      <w:r w:rsidRPr="00B97859">
        <w:rPr>
          <w:rFonts w:ascii="楷体_GB2312" w:eastAsia="楷体_GB2312"/>
          <w:color w:val="000000"/>
          <w:sz w:val="30"/>
          <w:szCs w:val="30"/>
        </w:rPr>
        <w:t>《暨南大学研究生校外指导教师遴选与认定办法》（暨学位〔2018〕47号）</w:t>
      </w:r>
      <w:r w:rsidRPr="00B97859">
        <w:rPr>
          <w:rFonts w:ascii="楷体_GB2312" w:eastAsia="楷体_GB2312" w:hint="eastAsia"/>
          <w:color w:val="000000"/>
          <w:sz w:val="30"/>
          <w:szCs w:val="30"/>
        </w:rPr>
        <w:t>，本学位点</w:t>
      </w:r>
      <w:r>
        <w:rPr>
          <w:rFonts w:ascii="楷体_GB2312" w:eastAsia="楷体_GB2312" w:hint="eastAsia"/>
          <w:color w:val="000000"/>
          <w:sz w:val="30"/>
          <w:szCs w:val="30"/>
        </w:rPr>
        <w:t>2024</w:t>
      </w:r>
      <w:r w:rsidRPr="00B97859">
        <w:rPr>
          <w:rFonts w:ascii="楷体_GB2312" w:eastAsia="楷体_GB2312"/>
          <w:color w:val="000000"/>
          <w:sz w:val="30"/>
          <w:szCs w:val="30"/>
        </w:rPr>
        <w:t>年</w:t>
      </w:r>
      <w:r>
        <w:rPr>
          <w:rFonts w:ascii="楷体_GB2312" w:eastAsia="楷体_GB2312" w:hint="eastAsia"/>
          <w:color w:val="000000"/>
          <w:sz w:val="30"/>
          <w:szCs w:val="30"/>
        </w:rPr>
        <w:t>开展了</w:t>
      </w:r>
      <w:r w:rsidRPr="00B97859">
        <w:rPr>
          <w:rFonts w:ascii="楷体_GB2312" w:eastAsia="楷体_GB2312"/>
          <w:color w:val="000000"/>
          <w:sz w:val="30"/>
          <w:szCs w:val="30"/>
        </w:rPr>
        <w:t>新增研究生指导教师遴选与选聘工作，</w:t>
      </w:r>
      <w:r w:rsidRPr="00B97859">
        <w:rPr>
          <w:rFonts w:ascii="楷体_GB2312" w:eastAsia="楷体_GB2312" w:hint="eastAsia"/>
          <w:color w:val="000000"/>
          <w:sz w:val="30"/>
          <w:szCs w:val="30"/>
        </w:rPr>
        <w:t>经个人申请、学院初审、相关职能部处审核并研究生院复核、暨南大学会计</w:t>
      </w:r>
      <w:proofErr w:type="gramStart"/>
      <w:r w:rsidRPr="00B97859">
        <w:rPr>
          <w:rFonts w:ascii="楷体_GB2312" w:eastAsia="楷体_GB2312" w:hint="eastAsia"/>
          <w:color w:val="000000"/>
          <w:sz w:val="30"/>
          <w:szCs w:val="30"/>
        </w:rPr>
        <w:t>审计</w:t>
      </w:r>
      <w:r>
        <w:rPr>
          <w:rFonts w:ascii="楷体_GB2312" w:eastAsia="楷体_GB2312" w:hint="eastAsia"/>
          <w:color w:val="000000"/>
          <w:sz w:val="30"/>
          <w:szCs w:val="30"/>
        </w:rPr>
        <w:t>教指委</w:t>
      </w:r>
      <w:proofErr w:type="gramEnd"/>
      <w:r w:rsidRPr="00B97859">
        <w:rPr>
          <w:rFonts w:ascii="楷体_GB2312" w:eastAsia="楷体_GB2312" w:hint="eastAsia"/>
          <w:color w:val="000000"/>
          <w:sz w:val="30"/>
          <w:szCs w:val="30"/>
        </w:rPr>
        <w:t>审议通过以及暨南大学第三届专业学位研究生教育指导委员会审议通过，新</w:t>
      </w:r>
      <w:r w:rsidRPr="00B97859">
        <w:rPr>
          <w:rFonts w:ascii="楷体_GB2312" w:eastAsia="楷体_GB2312" w:hint="eastAsia"/>
          <w:color w:val="000000"/>
          <w:sz w:val="30"/>
          <w:szCs w:val="30"/>
        </w:rPr>
        <w:lastRenderedPageBreak/>
        <w:t>增</w:t>
      </w:r>
      <w:r>
        <w:rPr>
          <w:rFonts w:ascii="楷体_GB2312" w:eastAsia="楷体_GB2312" w:hint="eastAsia"/>
          <w:color w:val="000000"/>
          <w:sz w:val="30"/>
          <w:szCs w:val="30"/>
        </w:rPr>
        <w:t>了4位老师</w:t>
      </w:r>
      <w:r w:rsidRPr="00B97859">
        <w:rPr>
          <w:rFonts w:ascii="楷体_GB2312" w:eastAsia="楷体_GB2312" w:hint="eastAsia"/>
          <w:color w:val="000000"/>
          <w:sz w:val="30"/>
          <w:szCs w:val="30"/>
        </w:rPr>
        <w:t>为本学位点导师、</w:t>
      </w:r>
      <w:r>
        <w:rPr>
          <w:rFonts w:ascii="楷体_GB2312" w:eastAsia="楷体_GB2312" w:hint="eastAsia"/>
          <w:color w:val="000000"/>
          <w:sz w:val="30"/>
          <w:szCs w:val="30"/>
        </w:rPr>
        <w:t>新聘9位校外专家</w:t>
      </w:r>
      <w:r w:rsidRPr="00B97859">
        <w:rPr>
          <w:rFonts w:ascii="楷体_GB2312" w:eastAsia="楷体_GB2312" w:hint="eastAsia"/>
          <w:color w:val="000000"/>
          <w:sz w:val="30"/>
          <w:szCs w:val="30"/>
        </w:rPr>
        <w:t>为本学位点实践导师。</w:t>
      </w:r>
    </w:p>
    <w:p w14:paraId="0E6C7EFA" w14:textId="77777777" w:rsidR="003715A2" w:rsidRPr="00B97859" w:rsidRDefault="003715A2" w:rsidP="003715A2">
      <w:pPr>
        <w:spacing w:line="360" w:lineRule="auto"/>
        <w:ind w:firstLineChars="200" w:firstLine="600"/>
        <w:rPr>
          <w:rFonts w:ascii="楷体_GB2312" w:eastAsia="楷体_GB2312"/>
          <w:color w:val="000000"/>
          <w:sz w:val="30"/>
          <w:szCs w:val="30"/>
        </w:rPr>
      </w:pPr>
      <w:r w:rsidRPr="00B97859">
        <w:rPr>
          <w:rFonts w:ascii="楷体_GB2312" w:eastAsia="楷体_GB2312" w:hint="eastAsia"/>
          <w:color w:val="000000"/>
          <w:sz w:val="30"/>
          <w:szCs w:val="30"/>
        </w:rPr>
        <w:t>根据《暨南大学研究生导师考核办法》</w:t>
      </w:r>
      <w:r w:rsidRPr="00B97859">
        <w:rPr>
          <w:rFonts w:ascii="楷体_GB2312" w:eastAsia="楷体_GB2312"/>
          <w:color w:val="000000"/>
          <w:sz w:val="30"/>
          <w:szCs w:val="30"/>
        </w:rPr>
        <w:t>(暨</w:t>
      </w:r>
      <w:proofErr w:type="gramStart"/>
      <w:r w:rsidRPr="00B97859">
        <w:rPr>
          <w:rFonts w:ascii="楷体_GB2312" w:eastAsia="楷体_GB2312"/>
          <w:color w:val="000000"/>
          <w:sz w:val="30"/>
          <w:szCs w:val="30"/>
        </w:rPr>
        <w:t>研</w:t>
      </w:r>
      <w:proofErr w:type="gramEnd"/>
      <w:r w:rsidRPr="00B97859">
        <w:rPr>
          <w:rFonts w:ascii="楷体_GB2312" w:eastAsia="楷体_GB2312"/>
          <w:color w:val="000000"/>
          <w:sz w:val="30"/>
          <w:szCs w:val="30"/>
        </w:rPr>
        <w:t>〔2021〕55号)规定，经研究生导师自评，基层党委、学科专家组、研究生管理人员、研究生分别对导师进行评价，院导师考核领导小组根据各方评价情况及对照考核要求评定</w:t>
      </w:r>
      <w:r w:rsidRPr="00B97859">
        <w:rPr>
          <w:rFonts w:ascii="楷体_GB2312" w:eastAsia="楷体_GB2312" w:hint="eastAsia"/>
          <w:color w:val="000000"/>
          <w:sz w:val="30"/>
          <w:szCs w:val="30"/>
        </w:rPr>
        <w:t>了本学位点</w:t>
      </w:r>
      <w:r w:rsidRPr="00B97859">
        <w:rPr>
          <w:rFonts w:ascii="楷体_GB2312" w:eastAsia="楷体_GB2312"/>
          <w:color w:val="000000"/>
          <w:sz w:val="30"/>
          <w:szCs w:val="30"/>
        </w:rPr>
        <w:t>导师考核结果</w:t>
      </w:r>
      <w:r w:rsidRPr="00B97859">
        <w:rPr>
          <w:rFonts w:ascii="楷体_GB2312" w:eastAsia="楷体_GB2312" w:hint="eastAsia"/>
          <w:color w:val="000000"/>
          <w:sz w:val="30"/>
          <w:szCs w:val="30"/>
        </w:rPr>
        <w:t>，所有导师考核合格</w:t>
      </w:r>
      <w:r w:rsidRPr="00B97859">
        <w:rPr>
          <w:rFonts w:ascii="楷体_GB2312" w:eastAsia="楷体_GB2312"/>
          <w:color w:val="000000"/>
          <w:sz w:val="30"/>
          <w:szCs w:val="30"/>
        </w:rPr>
        <w:t>。</w:t>
      </w:r>
    </w:p>
    <w:p w14:paraId="735006FF" w14:textId="77777777" w:rsidR="003715A2" w:rsidRPr="00B97859" w:rsidRDefault="003715A2" w:rsidP="003715A2">
      <w:pPr>
        <w:spacing w:line="360" w:lineRule="auto"/>
        <w:ind w:firstLineChars="200" w:firstLine="600"/>
        <w:rPr>
          <w:rFonts w:ascii="楷体_GB2312" w:eastAsia="楷体_GB2312"/>
          <w:color w:val="000000"/>
          <w:sz w:val="30"/>
          <w:szCs w:val="30"/>
        </w:rPr>
      </w:pPr>
      <w:r w:rsidRPr="00B97859">
        <w:rPr>
          <w:rFonts w:ascii="楷体_GB2312" w:eastAsia="楷体_GB2312" w:hint="eastAsia"/>
          <w:color w:val="000000"/>
          <w:sz w:val="30"/>
          <w:szCs w:val="30"/>
        </w:rPr>
        <w:t>研究生导师作为研究生培养的第一责任人，贯穿研究生培养全过程，为落实导师立德树人根本任务，强化导师岗位职责，加强研究生导师队伍建设，暨南大学研究生院、暨南大学研究生工作部和暨南大学教师工作部编制了《暨南大学研究生导师手册》，本</w:t>
      </w:r>
      <w:proofErr w:type="gramStart"/>
      <w:r w:rsidRPr="00B97859">
        <w:rPr>
          <w:rFonts w:ascii="楷体_GB2312" w:eastAsia="楷体_GB2312" w:hint="eastAsia"/>
          <w:color w:val="000000"/>
          <w:sz w:val="30"/>
          <w:szCs w:val="30"/>
        </w:rPr>
        <w:t>学位点第一时间</w:t>
      </w:r>
      <w:proofErr w:type="gramEnd"/>
      <w:r w:rsidRPr="00B97859">
        <w:rPr>
          <w:rFonts w:ascii="楷体_GB2312" w:eastAsia="楷体_GB2312" w:hint="eastAsia"/>
          <w:color w:val="000000"/>
          <w:sz w:val="30"/>
          <w:szCs w:val="30"/>
        </w:rPr>
        <w:t>组织导师学习手册，要求严格按照手册执行，依规管理，加强师德师风建设，本学位点无师德师风问题。</w:t>
      </w:r>
    </w:p>
    <w:p w14:paraId="60295E18" w14:textId="77777777" w:rsidR="003715A2" w:rsidRDefault="003715A2" w:rsidP="003715A2">
      <w:pPr>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3.5实践教学</w:t>
      </w:r>
    </w:p>
    <w:p w14:paraId="2E0BA97E" w14:textId="77777777" w:rsidR="003715A2" w:rsidRDefault="003715A2" w:rsidP="003715A2">
      <w:pPr>
        <w:spacing w:line="360" w:lineRule="auto"/>
        <w:ind w:firstLineChars="200" w:firstLine="600"/>
        <w:rPr>
          <w:rFonts w:ascii="楷体_GB2312" w:eastAsia="楷体_GB2312"/>
          <w:color w:val="000000"/>
          <w:sz w:val="30"/>
          <w:szCs w:val="30"/>
        </w:rPr>
      </w:pPr>
      <w:r w:rsidRPr="00EB0CD1">
        <w:rPr>
          <w:rFonts w:ascii="楷体_GB2312" w:eastAsia="楷体_GB2312" w:hint="eastAsia"/>
          <w:color w:val="000000"/>
          <w:sz w:val="30"/>
          <w:szCs w:val="30"/>
        </w:rPr>
        <w:t>为保证各项实践教学顺利开展，本学位</w:t>
      </w:r>
      <w:proofErr w:type="gramStart"/>
      <w:r w:rsidRPr="00EB0CD1">
        <w:rPr>
          <w:rFonts w:ascii="楷体_GB2312" w:eastAsia="楷体_GB2312" w:hint="eastAsia"/>
          <w:color w:val="000000"/>
          <w:sz w:val="30"/>
          <w:szCs w:val="30"/>
        </w:rPr>
        <w:t>点制定</w:t>
      </w:r>
      <w:proofErr w:type="gramEnd"/>
      <w:r w:rsidRPr="00EB0CD1">
        <w:rPr>
          <w:rFonts w:ascii="楷体_GB2312" w:eastAsia="楷体_GB2312" w:hint="eastAsia"/>
          <w:color w:val="000000"/>
          <w:sz w:val="30"/>
          <w:szCs w:val="30"/>
        </w:rPr>
        <w:t>了各项实践教学活动的管理规定，并严格执行相关管理规定。其中包括：《暨南大学</w:t>
      </w:r>
      <w:proofErr w:type="spellStart"/>
      <w:r w:rsidRPr="00EB0CD1">
        <w:rPr>
          <w:rFonts w:ascii="楷体_GB2312" w:eastAsia="楷体_GB2312" w:hint="eastAsia"/>
          <w:color w:val="000000"/>
          <w:sz w:val="30"/>
          <w:szCs w:val="30"/>
        </w:rPr>
        <w:t>MPAcc</w:t>
      </w:r>
      <w:proofErr w:type="spellEnd"/>
      <w:r w:rsidRPr="00EB0CD1">
        <w:rPr>
          <w:rFonts w:ascii="楷体_GB2312" w:eastAsia="楷体_GB2312" w:hint="eastAsia"/>
          <w:color w:val="000000"/>
          <w:sz w:val="30"/>
          <w:szCs w:val="30"/>
        </w:rPr>
        <w:t>“财务大讲堂”管理规定》、《暨南大学</w:t>
      </w:r>
      <w:proofErr w:type="spellStart"/>
      <w:r w:rsidRPr="00EB0CD1">
        <w:rPr>
          <w:rFonts w:ascii="楷体_GB2312" w:eastAsia="楷体_GB2312" w:hint="eastAsia"/>
          <w:color w:val="000000"/>
          <w:sz w:val="30"/>
          <w:szCs w:val="30"/>
        </w:rPr>
        <w:t>MPAcc</w:t>
      </w:r>
      <w:proofErr w:type="spellEnd"/>
      <w:r w:rsidRPr="00EB0CD1">
        <w:rPr>
          <w:rFonts w:ascii="楷体_GB2312" w:eastAsia="楷体_GB2312" w:hint="eastAsia"/>
          <w:color w:val="000000"/>
          <w:sz w:val="30"/>
          <w:szCs w:val="30"/>
        </w:rPr>
        <w:t>“财务前沿讲座”管理规定》、《暨南大学</w:t>
      </w:r>
      <w:proofErr w:type="spellStart"/>
      <w:r w:rsidRPr="00EB0CD1">
        <w:rPr>
          <w:rFonts w:ascii="楷体_GB2312" w:eastAsia="楷体_GB2312" w:hint="eastAsia"/>
          <w:color w:val="000000"/>
          <w:sz w:val="30"/>
          <w:szCs w:val="30"/>
        </w:rPr>
        <w:t>MPAcc</w:t>
      </w:r>
      <w:proofErr w:type="spellEnd"/>
      <w:r w:rsidRPr="00EB0CD1">
        <w:rPr>
          <w:rFonts w:ascii="楷体_GB2312" w:eastAsia="楷体_GB2312" w:hint="eastAsia"/>
          <w:color w:val="000000"/>
          <w:sz w:val="30"/>
          <w:szCs w:val="30"/>
        </w:rPr>
        <w:t>“案例开发”管理规定》、《暨南大学全日制</w:t>
      </w:r>
      <w:proofErr w:type="spellStart"/>
      <w:r w:rsidRPr="00EB0CD1">
        <w:rPr>
          <w:rFonts w:ascii="楷体_GB2312" w:eastAsia="楷体_GB2312" w:hint="eastAsia"/>
          <w:color w:val="000000"/>
          <w:sz w:val="30"/>
          <w:szCs w:val="30"/>
        </w:rPr>
        <w:t>MPAcc</w:t>
      </w:r>
      <w:proofErr w:type="spellEnd"/>
      <w:r w:rsidRPr="00EB0CD1">
        <w:rPr>
          <w:rFonts w:ascii="楷体_GB2312" w:eastAsia="楷体_GB2312" w:hint="eastAsia"/>
          <w:color w:val="000000"/>
          <w:sz w:val="30"/>
          <w:szCs w:val="30"/>
        </w:rPr>
        <w:t>实习管理规定》、《暨南大学全日制</w:t>
      </w:r>
      <w:proofErr w:type="spellStart"/>
      <w:r w:rsidRPr="00EB0CD1">
        <w:rPr>
          <w:rFonts w:ascii="楷体_GB2312" w:eastAsia="楷体_GB2312" w:hint="eastAsia"/>
          <w:color w:val="000000"/>
          <w:sz w:val="30"/>
          <w:szCs w:val="30"/>
        </w:rPr>
        <w:t>MPAcc</w:t>
      </w:r>
      <w:proofErr w:type="spellEnd"/>
      <w:r w:rsidRPr="00EB0CD1">
        <w:rPr>
          <w:rFonts w:ascii="楷体_GB2312" w:eastAsia="楷体_GB2312" w:hint="eastAsia"/>
          <w:color w:val="000000"/>
          <w:sz w:val="30"/>
          <w:szCs w:val="30"/>
        </w:rPr>
        <w:t>实习管理制度》。为提高学生的实践能力和创新能力，本学位点为各项实践活动提供经费支持和管理方面的支撑。各项讲座和企业参访产生的嘉宾酬劳、接待费用、交通费用均由本学位点</w:t>
      </w:r>
      <w:r w:rsidRPr="00EB0CD1">
        <w:rPr>
          <w:rFonts w:ascii="楷体_GB2312" w:eastAsia="楷体_GB2312" w:hint="eastAsia"/>
          <w:color w:val="000000"/>
          <w:sz w:val="30"/>
          <w:szCs w:val="30"/>
        </w:rPr>
        <w:lastRenderedPageBreak/>
        <w:t>承担，另外行政人员也参与到各项实践活动的管理中，为实践教学的有序进行提供有力支持。</w:t>
      </w:r>
    </w:p>
    <w:p w14:paraId="10721A66" w14:textId="77777777" w:rsidR="003715A2" w:rsidRDefault="003715A2" w:rsidP="003715A2">
      <w:pPr>
        <w:spacing w:line="540" w:lineRule="exact"/>
        <w:ind w:firstLineChars="200" w:firstLine="600"/>
        <w:rPr>
          <w:rFonts w:ascii="楷体_GB2312" w:eastAsia="楷体_GB2312"/>
          <w:color w:val="000000"/>
          <w:sz w:val="30"/>
          <w:szCs w:val="30"/>
        </w:rPr>
      </w:pPr>
      <w:r w:rsidRPr="00B8295E">
        <w:rPr>
          <w:rFonts w:ascii="楷体_GB2312" w:eastAsia="楷体_GB2312" w:hint="eastAsia"/>
          <w:color w:val="000000"/>
          <w:sz w:val="30"/>
          <w:szCs w:val="30"/>
        </w:rPr>
        <w:t>目前有安永华明会计师事务所（特殊普通合伙）广州分所、毕马威华</w:t>
      </w:r>
      <w:proofErr w:type="gramStart"/>
      <w:r w:rsidRPr="00B8295E">
        <w:rPr>
          <w:rFonts w:ascii="楷体_GB2312" w:eastAsia="楷体_GB2312" w:hint="eastAsia"/>
          <w:color w:val="000000"/>
          <w:sz w:val="30"/>
          <w:szCs w:val="30"/>
        </w:rPr>
        <w:t>振</w:t>
      </w:r>
      <w:proofErr w:type="gramEnd"/>
      <w:r w:rsidRPr="00B8295E">
        <w:rPr>
          <w:rFonts w:ascii="楷体_GB2312" w:eastAsia="楷体_GB2312" w:hint="eastAsia"/>
          <w:color w:val="000000"/>
          <w:sz w:val="30"/>
          <w:szCs w:val="30"/>
        </w:rPr>
        <w:t>会计师事务所（特殊普通合伙）广州分所、德勤华永会计师事务所（特殊普通合伙）广州分所、立信会计师事务所（特殊普通合伙）广东分所、天健会计师事务所（特殊普通合伙）广东分所、</w:t>
      </w:r>
      <w:proofErr w:type="gramStart"/>
      <w:r w:rsidRPr="00B8295E">
        <w:rPr>
          <w:rFonts w:ascii="楷体_GB2312" w:eastAsia="楷体_GB2312" w:hint="eastAsia"/>
          <w:color w:val="000000"/>
          <w:sz w:val="30"/>
          <w:szCs w:val="30"/>
        </w:rPr>
        <w:t>信永中和</w:t>
      </w:r>
      <w:proofErr w:type="gramEnd"/>
      <w:r w:rsidRPr="00B8295E">
        <w:rPr>
          <w:rFonts w:ascii="楷体_GB2312" w:eastAsia="楷体_GB2312" w:hint="eastAsia"/>
          <w:color w:val="000000"/>
          <w:sz w:val="30"/>
          <w:szCs w:val="30"/>
        </w:rPr>
        <w:t>会计师事务所（特殊普通合伙）广州分所、华兴会计师事务所（普通特殊合伙）广东分所、广东省环保集团有限公司、广州地铁集团有限公司等实习基地，并安排学员到广发证券股份有限公司等实习合作伙伴单位实习</w:t>
      </w:r>
      <w:r>
        <w:rPr>
          <w:rFonts w:ascii="楷体_GB2312" w:eastAsia="楷体_GB2312" w:hint="eastAsia"/>
          <w:color w:val="000000"/>
          <w:sz w:val="30"/>
          <w:szCs w:val="30"/>
        </w:rPr>
        <w:t>，实习单位均配备行业人员作为实习指导教师</w:t>
      </w:r>
      <w:r w:rsidRPr="00B8295E">
        <w:rPr>
          <w:rFonts w:ascii="楷体_GB2312" w:eastAsia="楷体_GB2312" w:hint="eastAsia"/>
          <w:color w:val="000000"/>
          <w:sz w:val="30"/>
          <w:szCs w:val="30"/>
        </w:rPr>
        <w:t>。学员学习实践时间累计6个月及以上。要求学员在实习前制定了详细的实习计划并按计划执行；实习结束后学员撰写了详实、深入的实践总结报告；全部学员获得实习单位出具的实习鉴定意见为满意，实习基地利用率100%</w:t>
      </w:r>
      <w:r>
        <w:rPr>
          <w:rFonts w:ascii="楷体_GB2312" w:eastAsia="楷体_GB2312" w:hint="eastAsia"/>
          <w:color w:val="000000"/>
          <w:sz w:val="30"/>
          <w:szCs w:val="30"/>
        </w:rPr>
        <w:t>。</w:t>
      </w:r>
    </w:p>
    <w:p w14:paraId="046B6372" w14:textId="77777777" w:rsidR="003715A2" w:rsidRPr="00B21EB3" w:rsidRDefault="003715A2" w:rsidP="003715A2">
      <w:pPr>
        <w:spacing w:line="360" w:lineRule="auto"/>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本学位点教师石水平教授</w:t>
      </w:r>
      <w:r w:rsidRPr="002600B5">
        <w:rPr>
          <w:rFonts w:ascii="楷体_GB2312" w:eastAsia="楷体_GB2312" w:hint="eastAsia"/>
          <w:color w:val="000000"/>
          <w:sz w:val="30"/>
          <w:szCs w:val="30"/>
        </w:rPr>
        <w:t>带领2024级</w:t>
      </w:r>
      <w:r>
        <w:rPr>
          <w:rFonts w:ascii="楷体_GB2312" w:eastAsia="楷体_GB2312" w:hint="eastAsia"/>
          <w:color w:val="000000"/>
          <w:sz w:val="30"/>
          <w:szCs w:val="30"/>
        </w:rPr>
        <w:t>会计</w:t>
      </w:r>
      <w:r w:rsidRPr="002600B5">
        <w:rPr>
          <w:rFonts w:ascii="楷体_GB2312" w:eastAsia="楷体_GB2312" w:hint="eastAsia"/>
          <w:color w:val="000000"/>
          <w:sz w:val="30"/>
          <w:szCs w:val="30"/>
        </w:rPr>
        <w:t>硕士</w:t>
      </w:r>
      <w:r>
        <w:rPr>
          <w:rFonts w:ascii="楷体_GB2312" w:eastAsia="楷体_GB2312" w:hint="eastAsia"/>
          <w:color w:val="000000"/>
          <w:sz w:val="30"/>
          <w:szCs w:val="30"/>
        </w:rPr>
        <w:t>可持续发展与ESG班学生</w:t>
      </w:r>
      <w:proofErr w:type="gramStart"/>
      <w:r>
        <w:rPr>
          <w:rFonts w:ascii="楷体_GB2312" w:eastAsia="楷体_GB2312" w:hint="eastAsia"/>
          <w:color w:val="000000"/>
          <w:sz w:val="30"/>
          <w:szCs w:val="30"/>
        </w:rPr>
        <w:t>走进</w:t>
      </w:r>
      <w:r w:rsidRPr="002600B5">
        <w:rPr>
          <w:rFonts w:ascii="楷体_GB2312" w:eastAsia="楷体_GB2312" w:hint="eastAsia"/>
          <w:color w:val="000000"/>
          <w:sz w:val="30"/>
          <w:szCs w:val="30"/>
        </w:rPr>
        <w:t>越秀金融</w:t>
      </w:r>
      <w:proofErr w:type="gramEnd"/>
      <w:r w:rsidRPr="002600B5">
        <w:rPr>
          <w:rFonts w:ascii="楷体_GB2312" w:eastAsia="楷体_GB2312" w:hint="eastAsia"/>
          <w:color w:val="000000"/>
          <w:sz w:val="30"/>
          <w:szCs w:val="30"/>
        </w:rPr>
        <w:t>大厦德勤</w:t>
      </w:r>
      <w:r>
        <w:rPr>
          <w:rFonts w:ascii="楷体_GB2312" w:eastAsia="楷体_GB2312" w:hint="eastAsia"/>
          <w:color w:val="000000"/>
          <w:sz w:val="30"/>
          <w:szCs w:val="30"/>
        </w:rPr>
        <w:t>会计师事务所</w:t>
      </w:r>
      <w:r w:rsidRPr="002600B5">
        <w:rPr>
          <w:rFonts w:ascii="楷体_GB2312" w:eastAsia="楷体_GB2312" w:hint="eastAsia"/>
          <w:color w:val="000000"/>
          <w:sz w:val="30"/>
          <w:szCs w:val="30"/>
        </w:rPr>
        <w:t>广州</w:t>
      </w:r>
      <w:r>
        <w:rPr>
          <w:rFonts w:ascii="楷体_GB2312" w:eastAsia="楷体_GB2312" w:hint="eastAsia"/>
          <w:color w:val="000000"/>
          <w:sz w:val="30"/>
          <w:szCs w:val="30"/>
        </w:rPr>
        <w:t>分所</w:t>
      </w:r>
      <w:r w:rsidRPr="002600B5">
        <w:rPr>
          <w:rFonts w:ascii="楷体_GB2312" w:eastAsia="楷体_GB2312" w:hint="eastAsia"/>
          <w:color w:val="000000"/>
          <w:sz w:val="30"/>
          <w:szCs w:val="30"/>
        </w:rPr>
        <w:t>开展</w:t>
      </w:r>
      <w:r>
        <w:rPr>
          <w:rFonts w:ascii="楷体_GB2312" w:eastAsia="楷体_GB2312" w:hint="eastAsia"/>
          <w:color w:val="000000"/>
          <w:sz w:val="30"/>
          <w:szCs w:val="30"/>
        </w:rPr>
        <w:t>实践教学，以</w:t>
      </w:r>
      <w:r w:rsidRPr="002600B5">
        <w:rPr>
          <w:rFonts w:ascii="楷体_GB2312" w:eastAsia="楷体_GB2312" w:hint="eastAsia"/>
          <w:color w:val="000000"/>
          <w:sz w:val="30"/>
          <w:szCs w:val="30"/>
        </w:rPr>
        <w:t>“大数据审计”主题</w:t>
      </w:r>
      <w:r>
        <w:rPr>
          <w:rFonts w:ascii="楷体_GB2312" w:eastAsia="楷体_GB2312" w:hint="eastAsia"/>
          <w:color w:val="000000"/>
          <w:sz w:val="30"/>
          <w:szCs w:val="30"/>
        </w:rPr>
        <w:t>，</w:t>
      </w:r>
      <w:r w:rsidRPr="002600B5">
        <w:rPr>
          <w:rFonts w:ascii="楷体_GB2312" w:eastAsia="楷体_GB2312" w:hint="eastAsia"/>
          <w:color w:val="000000"/>
          <w:sz w:val="30"/>
          <w:szCs w:val="30"/>
        </w:rPr>
        <w:t>深入了解大数据审计在企业场景中的具体运用，贴近行业前沿，进一步促进理论与实践的深度融合</w:t>
      </w:r>
      <w:r>
        <w:rPr>
          <w:rFonts w:ascii="楷体_GB2312" w:eastAsia="楷体_GB2312" w:hint="eastAsia"/>
          <w:color w:val="000000"/>
          <w:sz w:val="30"/>
          <w:szCs w:val="30"/>
        </w:rPr>
        <w:t>。</w:t>
      </w:r>
    </w:p>
    <w:p w14:paraId="26D2BC38" w14:textId="77777777" w:rsidR="003715A2" w:rsidRDefault="003715A2" w:rsidP="003715A2">
      <w:pPr>
        <w:spacing w:line="540" w:lineRule="exact"/>
        <w:ind w:firstLineChars="200" w:firstLine="600"/>
        <w:rPr>
          <w:rFonts w:ascii="楷体_GB2312" w:eastAsia="楷体_GB2312"/>
          <w:color w:val="000000"/>
          <w:sz w:val="30"/>
          <w:szCs w:val="30"/>
        </w:rPr>
      </w:pPr>
      <w:r w:rsidRPr="00C41F5B">
        <w:rPr>
          <w:rFonts w:ascii="楷体_GB2312" w:eastAsia="楷体_GB2312" w:hint="eastAsia"/>
          <w:color w:val="000000"/>
          <w:sz w:val="30"/>
          <w:szCs w:val="30"/>
        </w:rPr>
        <w:t>3.6学术交流</w:t>
      </w:r>
    </w:p>
    <w:p w14:paraId="7D8B85D5" w14:textId="77777777" w:rsidR="003715A2" w:rsidRDefault="003715A2" w:rsidP="003715A2">
      <w:pPr>
        <w:spacing w:line="360" w:lineRule="auto"/>
        <w:ind w:firstLineChars="200" w:firstLine="600"/>
        <w:jc w:val="left"/>
        <w:rPr>
          <w:rFonts w:ascii="楷体_GB2312" w:eastAsia="楷体_GB2312"/>
          <w:color w:val="000000"/>
          <w:sz w:val="30"/>
          <w:szCs w:val="30"/>
        </w:rPr>
      </w:pPr>
      <w:r w:rsidRPr="00280A49">
        <w:rPr>
          <w:rFonts w:ascii="楷体_GB2312" w:eastAsia="楷体_GB2312"/>
          <w:color w:val="000000"/>
          <w:sz w:val="30"/>
          <w:szCs w:val="30"/>
        </w:rPr>
        <w:t>本学位</w:t>
      </w:r>
      <w:proofErr w:type="gramStart"/>
      <w:r w:rsidRPr="00280A49">
        <w:rPr>
          <w:rFonts w:ascii="楷体_GB2312" w:eastAsia="楷体_GB2312"/>
          <w:color w:val="000000"/>
          <w:sz w:val="30"/>
          <w:szCs w:val="30"/>
        </w:rPr>
        <w:t>点鼓励</w:t>
      </w:r>
      <w:proofErr w:type="gramEnd"/>
      <w:r w:rsidRPr="00280A49">
        <w:rPr>
          <w:rFonts w:ascii="楷体_GB2312" w:eastAsia="楷体_GB2312"/>
          <w:color w:val="000000"/>
          <w:sz w:val="30"/>
          <w:szCs w:val="30"/>
        </w:rPr>
        <w:t>学生参加各种国内外学术交流</w:t>
      </w:r>
      <w:r w:rsidRPr="00280A49">
        <w:rPr>
          <w:rFonts w:ascii="楷体_GB2312" w:eastAsia="楷体_GB2312" w:hint="eastAsia"/>
          <w:color w:val="000000"/>
          <w:sz w:val="30"/>
          <w:szCs w:val="30"/>
        </w:rPr>
        <w:t>和比赛。</w:t>
      </w:r>
    </w:p>
    <w:tbl>
      <w:tblPr>
        <w:tblW w:w="9760" w:type="dxa"/>
        <w:tblInd w:w="113" w:type="dxa"/>
        <w:tblLook w:val="04A0" w:firstRow="1" w:lastRow="0" w:firstColumn="1" w:lastColumn="0" w:noHBand="0" w:noVBand="1"/>
      </w:tblPr>
      <w:tblGrid>
        <w:gridCol w:w="580"/>
        <w:gridCol w:w="1080"/>
        <w:gridCol w:w="2080"/>
        <w:gridCol w:w="6020"/>
      </w:tblGrid>
      <w:tr w:rsidR="003715A2" w14:paraId="731587B4"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C9A463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序号</w:t>
            </w:r>
          </w:p>
        </w:tc>
        <w:tc>
          <w:tcPr>
            <w:tcW w:w="1080" w:type="dxa"/>
            <w:tcBorders>
              <w:top w:val="single" w:sz="4" w:space="0" w:color="auto"/>
              <w:left w:val="nil"/>
              <w:bottom w:val="single" w:sz="4" w:space="0" w:color="auto"/>
              <w:right w:val="single" w:sz="4" w:space="0" w:color="auto"/>
            </w:tcBorders>
            <w:shd w:val="clear" w:color="auto" w:fill="auto"/>
            <w:vAlign w:val="center"/>
          </w:tcPr>
          <w:p w14:paraId="7585C11D"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姓名</w:t>
            </w:r>
          </w:p>
        </w:tc>
        <w:tc>
          <w:tcPr>
            <w:tcW w:w="2080" w:type="dxa"/>
            <w:tcBorders>
              <w:top w:val="single" w:sz="4" w:space="0" w:color="auto"/>
              <w:left w:val="nil"/>
              <w:bottom w:val="single" w:sz="4" w:space="0" w:color="auto"/>
              <w:right w:val="single" w:sz="4" w:space="0" w:color="auto"/>
            </w:tcBorders>
            <w:shd w:val="clear" w:color="auto" w:fill="auto"/>
            <w:vAlign w:val="center"/>
          </w:tcPr>
          <w:p w14:paraId="274E7AD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参加学术交流名称</w:t>
            </w:r>
          </w:p>
        </w:tc>
        <w:tc>
          <w:tcPr>
            <w:tcW w:w="6020" w:type="dxa"/>
            <w:tcBorders>
              <w:top w:val="single" w:sz="4" w:space="0" w:color="auto"/>
              <w:left w:val="nil"/>
              <w:bottom w:val="single" w:sz="4" w:space="0" w:color="auto"/>
              <w:right w:val="single" w:sz="4" w:space="0" w:color="auto"/>
            </w:tcBorders>
            <w:shd w:val="clear" w:color="auto" w:fill="auto"/>
            <w:vAlign w:val="center"/>
          </w:tcPr>
          <w:p w14:paraId="08CB1C9E"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简介</w:t>
            </w:r>
          </w:p>
        </w:tc>
      </w:tr>
      <w:tr w:rsidR="003715A2" w14:paraId="5BC02809"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1C03E7F9"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w:t>
            </w:r>
          </w:p>
        </w:tc>
        <w:tc>
          <w:tcPr>
            <w:tcW w:w="1080" w:type="dxa"/>
            <w:tcBorders>
              <w:top w:val="nil"/>
              <w:left w:val="nil"/>
              <w:bottom w:val="single" w:sz="4" w:space="0" w:color="auto"/>
              <w:right w:val="single" w:sz="4" w:space="0" w:color="auto"/>
            </w:tcBorders>
            <w:shd w:val="clear" w:color="auto" w:fill="auto"/>
            <w:vAlign w:val="center"/>
          </w:tcPr>
          <w:p w14:paraId="5CE6FE5E"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费瑶</w:t>
            </w:r>
            <w:proofErr w:type="gramEnd"/>
          </w:p>
        </w:tc>
        <w:tc>
          <w:tcPr>
            <w:tcW w:w="2080" w:type="dxa"/>
            <w:vMerge w:val="restart"/>
            <w:tcBorders>
              <w:top w:val="nil"/>
              <w:left w:val="single" w:sz="4" w:space="0" w:color="auto"/>
              <w:bottom w:val="single" w:sz="4" w:space="0" w:color="000000"/>
              <w:right w:val="single" w:sz="4" w:space="0" w:color="auto"/>
            </w:tcBorders>
            <w:shd w:val="clear" w:color="auto" w:fill="auto"/>
            <w:vAlign w:val="center"/>
          </w:tcPr>
          <w:p w14:paraId="24B93DDB" w14:textId="77777777" w:rsidR="003715A2" w:rsidRDefault="003715A2" w:rsidP="005754EE">
            <w:pPr>
              <w:widowControl/>
              <w:jc w:val="center"/>
              <w:textAlignment w:val="center"/>
              <w:rPr>
                <w:rFonts w:ascii="楷体" w:eastAsia="楷体" w:hAnsi="楷体" w:cs="宋体" w:hint="eastAsia"/>
                <w:color w:val="000000"/>
                <w:sz w:val="22"/>
              </w:rPr>
            </w:pPr>
            <w:r>
              <w:rPr>
                <w:rFonts w:ascii="楷体" w:eastAsia="楷体" w:hAnsi="楷体" w:cs="楷体"/>
                <w:color w:val="000000"/>
                <w:sz w:val="22"/>
                <w:lang w:bidi="ar"/>
              </w:rPr>
              <w:t>首届粤港澳高校会计案例大赛</w:t>
            </w:r>
          </w:p>
        </w:tc>
        <w:tc>
          <w:tcPr>
            <w:tcW w:w="6020" w:type="dxa"/>
            <w:vMerge w:val="restart"/>
            <w:tcBorders>
              <w:top w:val="nil"/>
              <w:left w:val="single" w:sz="4" w:space="0" w:color="auto"/>
              <w:bottom w:val="single" w:sz="4" w:space="0" w:color="auto"/>
              <w:right w:val="single" w:sz="4" w:space="0" w:color="auto"/>
            </w:tcBorders>
            <w:shd w:val="clear" w:color="auto" w:fill="auto"/>
            <w:vAlign w:val="center"/>
          </w:tcPr>
          <w:p w14:paraId="7186CF00" w14:textId="77777777" w:rsidR="003715A2" w:rsidRDefault="003715A2" w:rsidP="005754EE">
            <w:pPr>
              <w:widowControl/>
              <w:jc w:val="center"/>
              <w:textAlignment w:val="center"/>
              <w:rPr>
                <w:rFonts w:ascii="楷体" w:eastAsia="楷体" w:hAnsi="楷体" w:cs="宋体" w:hint="eastAsia"/>
                <w:color w:val="000000"/>
                <w:sz w:val="22"/>
              </w:rPr>
            </w:pPr>
            <w:r>
              <w:rPr>
                <w:rFonts w:ascii="楷体" w:eastAsia="楷体" w:hAnsi="楷体" w:cs="楷体"/>
                <w:color w:val="000000"/>
                <w:sz w:val="22"/>
                <w:lang w:bidi="ar"/>
              </w:rPr>
              <w:t>粤港澳高校会计案例大赛是一场汇聚区域会计专业精英学子的学术与实践交融盛会，它聚焦粤港澳地区独特的经济环境</w:t>
            </w:r>
            <w:r>
              <w:rPr>
                <w:rFonts w:ascii="楷体" w:eastAsia="楷体" w:hAnsi="楷体" w:cs="楷体"/>
                <w:color w:val="000000"/>
                <w:sz w:val="22"/>
                <w:lang w:bidi="ar"/>
              </w:rPr>
              <w:lastRenderedPageBreak/>
              <w:t xml:space="preserve">和企业发展需求，为 </w:t>
            </w:r>
            <w:proofErr w:type="spellStart"/>
            <w:r>
              <w:rPr>
                <w:rFonts w:ascii="楷体" w:eastAsia="楷体" w:hAnsi="楷体" w:cs="楷体"/>
                <w:color w:val="000000"/>
                <w:sz w:val="22"/>
                <w:lang w:bidi="ar"/>
              </w:rPr>
              <w:t>MPAcc</w:t>
            </w:r>
            <w:proofErr w:type="spellEnd"/>
            <w:r>
              <w:rPr>
                <w:rFonts w:ascii="楷体" w:eastAsia="楷体" w:hAnsi="楷体" w:cs="楷体"/>
                <w:color w:val="000000"/>
                <w:sz w:val="22"/>
                <w:lang w:bidi="ar"/>
              </w:rPr>
              <w:t xml:space="preserve"> 学生提供了极具价值的实践平台。大赛通过组织 </w:t>
            </w:r>
            <w:proofErr w:type="spellStart"/>
            <w:r>
              <w:rPr>
                <w:rFonts w:ascii="楷体" w:eastAsia="楷体" w:hAnsi="楷体" w:cs="楷体"/>
                <w:color w:val="000000"/>
                <w:sz w:val="22"/>
                <w:lang w:bidi="ar"/>
              </w:rPr>
              <w:t>MPAcc</w:t>
            </w:r>
            <w:proofErr w:type="spellEnd"/>
            <w:r>
              <w:rPr>
                <w:rFonts w:ascii="楷体" w:eastAsia="楷体" w:hAnsi="楷体" w:cs="楷体"/>
                <w:color w:val="000000"/>
                <w:sz w:val="22"/>
                <w:lang w:bidi="ar"/>
              </w:rPr>
              <w:t xml:space="preserve"> 学生深入粤港澳大湾区的各类企业进行实地调研，亲身参与企业的日常运营与管理流程，在实践中积累丰富的一手经验。学生需依据所掌握的会计专业知识，结合企业实际情况，模拟企业管理者的角色，对企业面临的复杂财务问题和管理决策难题进行深入剖析，制定切实可行的解决方案，并在激烈的比拼中展示自己的智慧与能力。</w:t>
            </w:r>
            <w:r>
              <w:rPr>
                <w:rFonts w:ascii="楷体" w:eastAsia="楷体" w:hAnsi="楷体" w:cs="楷体"/>
                <w:color w:val="000000"/>
                <w:sz w:val="22"/>
                <w:lang w:bidi="ar"/>
              </w:rPr>
              <w:br/>
              <w:t xml:space="preserve">大赛致力于全方位培养并提升 </w:t>
            </w:r>
            <w:proofErr w:type="spellStart"/>
            <w:r>
              <w:rPr>
                <w:rFonts w:ascii="楷体" w:eastAsia="楷体" w:hAnsi="楷体" w:cs="楷体"/>
                <w:color w:val="000000"/>
                <w:sz w:val="22"/>
                <w:lang w:bidi="ar"/>
              </w:rPr>
              <w:t>MPAcc</w:t>
            </w:r>
            <w:proofErr w:type="spellEnd"/>
            <w:r>
              <w:rPr>
                <w:rFonts w:ascii="楷体" w:eastAsia="楷体" w:hAnsi="楷体" w:cs="楷体"/>
                <w:color w:val="000000"/>
                <w:sz w:val="22"/>
                <w:lang w:bidi="ar"/>
              </w:rPr>
              <w:t xml:space="preserve"> 学生的专业素养和综合能力。学生们在深入企业实践的过程中，能够敏锐地发现企业在财务管理、会计核算、税务筹划等方面存在的潜在问题，并运用所学的专业知识和分析方法，对这些问题进行系统、深入的分析，最终提出创新性的解决方案。这不仅有助于提升学生们发现问题、分析问题和解决问题的能力，还能让他们更好地理解会计理论与实际工作的紧密联系，提高他们将理论知识应用于实践的能力。</w:t>
            </w:r>
          </w:p>
        </w:tc>
      </w:tr>
      <w:tr w:rsidR="003715A2" w14:paraId="3B871D9B"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75CCD6FB"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lastRenderedPageBreak/>
              <w:t>2</w:t>
            </w:r>
          </w:p>
        </w:tc>
        <w:tc>
          <w:tcPr>
            <w:tcW w:w="1080" w:type="dxa"/>
            <w:tcBorders>
              <w:top w:val="nil"/>
              <w:left w:val="nil"/>
              <w:bottom w:val="single" w:sz="4" w:space="0" w:color="auto"/>
              <w:right w:val="single" w:sz="4" w:space="0" w:color="auto"/>
            </w:tcBorders>
            <w:shd w:val="clear" w:color="auto" w:fill="auto"/>
            <w:vAlign w:val="center"/>
          </w:tcPr>
          <w:p w14:paraId="4E6042BC"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刘衍萌</w:t>
            </w:r>
            <w:proofErr w:type="gramEnd"/>
          </w:p>
        </w:tc>
        <w:tc>
          <w:tcPr>
            <w:tcW w:w="2080" w:type="dxa"/>
            <w:vMerge/>
            <w:tcBorders>
              <w:top w:val="nil"/>
              <w:left w:val="single" w:sz="4" w:space="0" w:color="auto"/>
              <w:bottom w:val="single" w:sz="4" w:space="0" w:color="000000"/>
              <w:right w:val="single" w:sz="4" w:space="0" w:color="auto"/>
            </w:tcBorders>
            <w:vAlign w:val="center"/>
          </w:tcPr>
          <w:p w14:paraId="5DED0155"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68590E51" w14:textId="77777777" w:rsidR="003715A2" w:rsidRDefault="003715A2" w:rsidP="005754EE">
            <w:pPr>
              <w:jc w:val="center"/>
              <w:rPr>
                <w:rFonts w:ascii="楷体" w:eastAsia="楷体" w:hAnsi="楷体" w:cs="宋体" w:hint="eastAsia"/>
                <w:color w:val="000000"/>
                <w:sz w:val="22"/>
              </w:rPr>
            </w:pPr>
          </w:p>
        </w:tc>
      </w:tr>
      <w:tr w:rsidR="003715A2" w14:paraId="0EEC8BCB"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49879787"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w:t>
            </w:r>
          </w:p>
        </w:tc>
        <w:tc>
          <w:tcPr>
            <w:tcW w:w="1080" w:type="dxa"/>
            <w:tcBorders>
              <w:top w:val="nil"/>
              <w:left w:val="nil"/>
              <w:bottom w:val="single" w:sz="4" w:space="0" w:color="auto"/>
              <w:right w:val="single" w:sz="4" w:space="0" w:color="auto"/>
            </w:tcBorders>
            <w:shd w:val="clear" w:color="auto" w:fill="auto"/>
            <w:vAlign w:val="center"/>
          </w:tcPr>
          <w:p w14:paraId="71CCF62C"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黄悦琳</w:t>
            </w:r>
            <w:proofErr w:type="gramEnd"/>
          </w:p>
        </w:tc>
        <w:tc>
          <w:tcPr>
            <w:tcW w:w="2080" w:type="dxa"/>
            <w:vMerge/>
            <w:tcBorders>
              <w:top w:val="nil"/>
              <w:left w:val="single" w:sz="4" w:space="0" w:color="auto"/>
              <w:bottom w:val="single" w:sz="4" w:space="0" w:color="000000"/>
              <w:right w:val="single" w:sz="4" w:space="0" w:color="auto"/>
            </w:tcBorders>
            <w:vAlign w:val="center"/>
          </w:tcPr>
          <w:p w14:paraId="5F0CF7E9"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0F8F7E4A" w14:textId="77777777" w:rsidR="003715A2" w:rsidRDefault="003715A2" w:rsidP="005754EE">
            <w:pPr>
              <w:jc w:val="center"/>
              <w:rPr>
                <w:rFonts w:ascii="楷体" w:eastAsia="楷体" w:hAnsi="楷体" w:cs="宋体" w:hint="eastAsia"/>
                <w:color w:val="000000"/>
                <w:sz w:val="22"/>
              </w:rPr>
            </w:pPr>
          </w:p>
        </w:tc>
      </w:tr>
      <w:tr w:rsidR="003715A2" w14:paraId="228E18D5"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23BB92FC"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4</w:t>
            </w:r>
          </w:p>
        </w:tc>
        <w:tc>
          <w:tcPr>
            <w:tcW w:w="1080" w:type="dxa"/>
            <w:tcBorders>
              <w:top w:val="nil"/>
              <w:left w:val="nil"/>
              <w:bottom w:val="single" w:sz="4" w:space="0" w:color="auto"/>
              <w:right w:val="single" w:sz="4" w:space="0" w:color="auto"/>
            </w:tcBorders>
            <w:shd w:val="clear" w:color="auto" w:fill="auto"/>
            <w:vAlign w:val="center"/>
          </w:tcPr>
          <w:p w14:paraId="6E0295C6"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曾希</w:t>
            </w:r>
            <w:proofErr w:type="gramEnd"/>
          </w:p>
        </w:tc>
        <w:tc>
          <w:tcPr>
            <w:tcW w:w="2080" w:type="dxa"/>
            <w:vMerge/>
            <w:tcBorders>
              <w:top w:val="nil"/>
              <w:left w:val="single" w:sz="4" w:space="0" w:color="auto"/>
              <w:bottom w:val="single" w:sz="4" w:space="0" w:color="000000"/>
              <w:right w:val="single" w:sz="4" w:space="0" w:color="auto"/>
            </w:tcBorders>
            <w:vAlign w:val="center"/>
          </w:tcPr>
          <w:p w14:paraId="7438D107"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42B7DC60" w14:textId="77777777" w:rsidR="003715A2" w:rsidRDefault="003715A2" w:rsidP="005754EE">
            <w:pPr>
              <w:jc w:val="center"/>
              <w:rPr>
                <w:rFonts w:ascii="楷体" w:eastAsia="楷体" w:hAnsi="楷体" w:cs="宋体" w:hint="eastAsia"/>
                <w:color w:val="000000"/>
                <w:sz w:val="22"/>
              </w:rPr>
            </w:pPr>
          </w:p>
        </w:tc>
      </w:tr>
      <w:tr w:rsidR="003715A2" w14:paraId="6F90A254"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405B6192"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5</w:t>
            </w:r>
          </w:p>
        </w:tc>
        <w:tc>
          <w:tcPr>
            <w:tcW w:w="1080" w:type="dxa"/>
            <w:tcBorders>
              <w:top w:val="nil"/>
              <w:left w:val="nil"/>
              <w:bottom w:val="single" w:sz="4" w:space="0" w:color="auto"/>
              <w:right w:val="single" w:sz="4" w:space="0" w:color="auto"/>
            </w:tcBorders>
            <w:shd w:val="clear" w:color="auto" w:fill="auto"/>
            <w:vAlign w:val="center"/>
          </w:tcPr>
          <w:p w14:paraId="0CBAEEBE"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何启华</w:t>
            </w:r>
          </w:p>
        </w:tc>
        <w:tc>
          <w:tcPr>
            <w:tcW w:w="2080" w:type="dxa"/>
            <w:vMerge/>
            <w:tcBorders>
              <w:top w:val="nil"/>
              <w:left w:val="single" w:sz="4" w:space="0" w:color="auto"/>
              <w:bottom w:val="single" w:sz="4" w:space="0" w:color="auto"/>
              <w:right w:val="single" w:sz="4" w:space="0" w:color="auto"/>
            </w:tcBorders>
            <w:shd w:val="clear" w:color="auto" w:fill="auto"/>
            <w:vAlign w:val="center"/>
          </w:tcPr>
          <w:p w14:paraId="7A65942F"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shd w:val="clear" w:color="auto" w:fill="auto"/>
            <w:vAlign w:val="center"/>
          </w:tcPr>
          <w:p w14:paraId="25F2D2E0" w14:textId="77777777" w:rsidR="003715A2" w:rsidRDefault="003715A2" w:rsidP="005754EE">
            <w:pPr>
              <w:jc w:val="center"/>
              <w:rPr>
                <w:rFonts w:ascii="楷体" w:eastAsia="楷体" w:hAnsi="楷体" w:cs="宋体" w:hint="eastAsia"/>
                <w:color w:val="000000"/>
                <w:sz w:val="22"/>
              </w:rPr>
            </w:pPr>
          </w:p>
        </w:tc>
      </w:tr>
      <w:tr w:rsidR="003715A2" w14:paraId="4FBEA0A5"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1AB0713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6</w:t>
            </w:r>
          </w:p>
        </w:tc>
        <w:tc>
          <w:tcPr>
            <w:tcW w:w="1080" w:type="dxa"/>
            <w:tcBorders>
              <w:top w:val="nil"/>
              <w:left w:val="nil"/>
              <w:bottom w:val="single" w:sz="4" w:space="0" w:color="auto"/>
              <w:right w:val="single" w:sz="4" w:space="0" w:color="auto"/>
            </w:tcBorders>
            <w:shd w:val="clear" w:color="auto" w:fill="auto"/>
            <w:vAlign w:val="center"/>
          </w:tcPr>
          <w:p w14:paraId="7DF533C2"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刘碧莹</w:t>
            </w:r>
          </w:p>
        </w:tc>
        <w:tc>
          <w:tcPr>
            <w:tcW w:w="2080" w:type="dxa"/>
            <w:vMerge/>
            <w:tcBorders>
              <w:top w:val="nil"/>
              <w:left w:val="single" w:sz="4" w:space="0" w:color="auto"/>
              <w:bottom w:val="single" w:sz="4" w:space="0" w:color="auto"/>
              <w:right w:val="single" w:sz="4" w:space="0" w:color="auto"/>
            </w:tcBorders>
            <w:vAlign w:val="center"/>
          </w:tcPr>
          <w:p w14:paraId="42CF8A52"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2EFA348C" w14:textId="77777777" w:rsidR="003715A2" w:rsidRDefault="003715A2" w:rsidP="005754EE">
            <w:pPr>
              <w:jc w:val="center"/>
              <w:rPr>
                <w:rFonts w:ascii="楷体" w:eastAsia="楷体" w:hAnsi="楷体" w:cs="宋体" w:hint="eastAsia"/>
                <w:color w:val="000000"/>
                <w:sz w:val="22"/>
              </w:rPr>
            </w:pPr>
          </w:p>
        </w:tc>
      </w:tr>
      <w:tr w:rsidR="003715A2" w14:paraId="750081C0" w14:textId="77777777" w:rsidTr="005754EE">
        <w:trPr>
          <w:trHeight w:val="90"/>
        </w:trPr>
        <w:tc>
          <w:tcPr>
            <w:tcW w:w="580" w:type="dxa"/>
            <w:tcBorders>
              <w:top w:val="nil"/>
              <w:left w:val="single" w:sz="4" w:space="0" w:color="auto"/>
              <w:bottom w:val="single" w:sz="4" w:space="0" w:color="auto"/>
              <w:right w:val="single" w:sz="4" w:space="0" w:color="auto"/>
            </w:tcBorders>
            <w:shd w:val="clear" w:color="auto" w:fill="auto"/>
            <w:vAlign w:val="center"/>
          </w:tcPr>
          <w:p w14:paraId="5F25C63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7</w:t>
            </w:r>
          </w:p>
        </w:tc>
        <w:tc>
          <w:tcPr>
            <w:tcW w:w="1080" w:type="dxa"/>
            <w:tcBorders>
              <w:top w:val="nil"/>
              <w:left w:val="nil"/>
              <w:bottom w:val="single" w:sz="4" w:space="0" w:color="auto"/>
              <w:right w:val="single" w:sz="4" w:space="0" w:color="auto"/>
            </w:tcBorders>
            <w:shd w:val="clear" w:color="auto" w:fill="auto"/>
            <w:vAlign w:val="center"/>
          </w:tcPr>
          <w:p w14:paraId="4731F184"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刘慧</w:t>
            </w:r>
          </w:p>
        </w:tc>
        <w:tc>
          <w:tcPr>
            <w:tcW w:w="2080" w:type="dxa"/>
            <w:vMerge/>
            <w:tcBorders>
              <w:top w:val="nil"/>
              <w:left w:val="single" w:sz="4" w:space="0" w:color="auto"/>
              <w:bottom w:val="single" w:sz="4" w:space="0" w:color="auto"/>
              <w:right w:val="single" w:sz="4" w:space="0" w:color="auto"/>
            </w:tcBorders>
            <w:vAlign w:val="center"/>
          </w:tcPr>
          <w:p w14:paraId="620B1E02"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5F8B1063" w14:textId="77777777" w:rsidR="003715A2" w:rsidRDefault="003715A2" w:rsidP="005754EE">
            <w:pPr>
              <w:jc w:val="center"/>
              <w:rPr>
                <w:rFonts w:ascii="楷体" w:eastAsia="楷体" w:hAnsi="楷体" w:cs="宋体" w:hint="eastAsia"/>
                <w:color w:val="000000"/>
                <w:sz w:val="22"/>
              </w:rPr>
            </w:pPr>
          </w:p>
        </w:tc>
      </w:tr>
      <w:tr w:rsidR="003715A2" w14:paraId="13145A49"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2F7E902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8</w:t>
            </w:r>
          </w:p>
        </w:tc>
        <w:tc>
          <w:tcPr>
            <w:tcW w:w="1080" w:type="dxa"/>
            <w:tcBorders>
              <w:top w:val="nil"/>
              <w:left w:val="nil"/>
              <w:bottom w:val="single" w:sz="4" w:space="0" w:color="auto"/>
              <w:right w:val="single" w:sz="4" w:space="0" w:color="auto"/>
            </w:tcBorders>
            <w:shd w:val="clear" w:color="auto" w:fill="auto"/>
            <w:vAlign w:val="center"/>
          </w:tcPr>
          <w:p w14:paraId="256CBCC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檀灿灿</w:t>
            </w:r>
          </w:p>
        </w:tc>
        <w:tc>
          <w:tcPr>
            <w:tcW w:w="2080" w:type="dxa"/>
            <w:vMerge/>
            <w:tcBorders>
              <w:top w:val="nil"/>
              <w:left w:val="single" w:sz="4" w:space="0" w:color="auto"/>
              <w:bottom w:val="single" w:sz="4" w:space="0" w:color="auto"/>
              <w:right w:val="single" w:sz="4" w:space="0" w:color="auto"/>
            </w:tcBorders>
            <w:vAlign w:val="center"/>
          </w:tcPr>
          <w:p w14:paraId="5792CFE5"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363E6779" w14:textId="77777777" w:rsidR="003715A2" w:rsidRDefault="003715A2" w:rsidP="005754EE">
            <w:pPr>
              <w:jc w:val="center"/>
              <w:rPr>
                <w:rFonts w:ascii="楷体" w:eastAsia="楷体" w:hAnsi="楷体" w:cs="宋体" w:hint="eastAsia"/>
                <w:color w:val="000000"/>
                <w:sz w:val="22"/>
              </w:rPr>
            </w:pPr>
          </w:p>
        </w:tc>
      </w:tr>
      <w:tr w:rsidR="003715A2" w14:paraId="72AF4A7C"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0ED86762"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9</w:t>
            </w:r>
          </w:p>
        </w:tc>
        <w:tc>
          <w:tcPr>
            <w:tcW w:w="1080" w:type="dxa"/>
            <w:tcBorders>
              <w:top w:val="nil"/>
              <w:left w:val="nil"/>
              <w:bottom w:val="single" w:sz="4" w:space="0" w:color="auto"/>
              <w:right w:val="single" w:sz="4" w:space="0" w:color="auto"/>
            </w:tcBorders>
            <w:shd w:val="clear" w:color="auto" w:fill="auto"/>
            <w:vAlign w:val="center"/>
          </w:tcPr>
          <w:p w14:paraId="1F02CB4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刘士平</w:t>
            </w:r>
          </w:p>
        </w:tc>
        <w:tc>
          <w:tcPr>
            <w:tcW w:w="2080" w:type="dxa"/>
            <w:vMerge/>
            <w:tcBorders>
              <w:top w:val="nil"/>
              <w:left w:val="single" w:sz="4" w:space="0" w:color="auto"/>
              <w:bottom w:val="single" w:sz="4" w:space="0" w:color="auto"/>
              <w:right w:val="single" w:sz="4" w:space="0" w:color="auto"/>
            </w:tcBorders>
            <w:vAlign w:val="center"/>
          </w:tcPr>
          <w:p w14:paraId="493E4BB9"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75EBD09F" w14:textId="77777777" w:rsidR="003715A2" w:rsidRDefault="003715A2" w:rsidP="005754EE">
            <w:pPr>
              <w:jc w:val="center"/>
              <w:rPr>
                <w:rFonts w:ascii="楷体" w:eastAsia="楷体" w:hAnsi="楷体" w:cs="宋体" w:hint="eastAsia"/>
                <w:color w:val="000000"/>
                <w:sz w:val="22"/>
              </w:rPr>
            </w:pPr>
          </w:p>
        </w:tc>
      </w:tr>
      <w:tr w:rsidR="003715A2" w14:paraId="6223300E"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49C97873"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10</w:t>
            </w:r>
          </w:p>
        </w:tc>
        <w:tc>
          <w:tcPr>
            <w:tcW w:w="1080" w:type="dxa"/>
            <w:tcBorders>
              <w:top w:val="nil"/>
              <w:left w:val="nil"/>
              <w:bottom w:val="single" w:sz="4" w:space="0" w:color="auto"/>
              <w:right w:val="single" w:sz="4" w:space="0" w:color="auto"/>
            </w:tcBorders>
            <w:shd w:val="clear" w:color="auto" w:fill="auto"/>
            <w:vAlign w:val="center"/>
          </w:tcPr>
          <w:p w14:paraId="511EA1ED"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张宝蕴</w:t>
            </w:r>
          </w:p>
        </w:tc>
        <w:tc>
          <w:tcPr>
            <w:tcW w:w="2080" w:type="dxa"/>
            <w:vMerge/>
            <w:tcBorders>
              <w:top w:val="nil"/>
              <w:left w:val="single" w:sz="4" w:space="0" w:color="auto"/>
              <w:bottom w:val="single" w:sz="4" w:space="0" w:color="auto"/>
              <w:right w:val="single" w:sz="4" w:space="0" w:color="auto"/>
            </w:tcBorders>
            <w:vAlign w:val="center"/>
          </w:tcPr>
          <w:p w14:paraId="1F36EC3F"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1911FCFD" w14:textId="77777777" w:rsidR="003715A2" w:rsidRDefault="003715A2" w:rsidP="005754EE">
            <w:pPr>
              <w:jc w:val="center"/>
              <w:rPr>
                <w:rFonts w:ascii="楷体" w:eastAsia="楷体" w:hAnsi="楷体" w:cs="宋体" w:hint="eastAsia"/>
                <w:color w:val="000000"/>
                <w:sz w:val="22"/>
              </w:rPr>
            </w:pPr>
          </w:p>
        </w:tc>
      </w:tr>
      <w:tr w:rsidR="003715A2" w14:paraId="56B4EFFB"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7AF76120"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11</w:t>
            </w:r>
          </w:p>
        </w:tc>
        <w:tc>
          <w:tcPr>
            <w:tcW w:w="1080" w:type="dxa"/>
            <w:tcBorders>
              <w:top w:val="nil"/>
              <w:left w:val="nil"/>
              <w:bottom w:val="single" w:sz="4" w:space="0" w:color="auto"/>
              <w:right w:val="single" w:sz="4" w:space="0" w:color="auto"/>
            </w:tcBorders>
            <w:shd w:val="clear" w:color="auto" w:fill="auto"/>
            <w:vAlign w:val="center"/>
          </w:tcPr>
          <w:p w14:paraId="7F55F2DF"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张燕佳</w:t>
            </w:r>
            <w:proofErr w:type="gramEnd"/>
          </w:p>
        </w:tc>
        <w:tc>
          <w:tcPr>
            <w:tcW w:w="2080" w:type="dxa"/>
            <w:vMerge/>
            <w:tcBorders>
              <w:top w:val="nil"/>
              <w:left w:val="single" w:sz="4" w:space="0" w:color="auto"/>
              <w:bottom w:val="single" w:sz="4" w:space="0" w:color="auto"/>
              <w:right w:val="single" w:sz="4" w:space="0" w:color="auto"/>
            </w:tcBorders>
            <w:vAlign w:val="center"/>
          </w:tcPr>
          <w:p w14:paraId="1F5344BB"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58808D2E" w14:textId="77777777" w:rsidR="003715A2" w:rsidRDefault="003715A2" w:rsidP="005754EE">
            <w:pPr>
              <w:jc w:val="center"/>
              <w:rPr>
                <w:rFonts w:ascii="楷体" w:eastAsia="楷体" w:hAnsi="楷体" w:cs="宋体" w:hint="eastAsia"/>
                <w:color w:val="000000"/>
                <w:sz w:val="22"/>
              </w:rPr>
            </w:pPr>
          </w:p>
        </w:tc>
      </w:tr>
      <w:tr w:rsidR="003715A2" w14:paraId="073128DD"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76675AF4"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12</w:t>
            </w:r>
          </w:p>
        </w:tc>
        <w:tc>
          <w:tcPr>
            <w:tcW w:w="1080" w:type="dxa"/>
            <w:tcBorders>
              <w:top w:val="nil"/>
              <w:left w:val="nil"/>
              <w:bottom w:val="single" w:sz="4" w:space="0" w:color="auto"/>
              <w:right w:val="single" w:sz="4" w:space="0" w:color="auto"/>
            </w:tcBorders>
            <w:shd w:val="clear" w:color="auto" w:fill="auto"/>
            <w:vAlign w:val="center"/>
          </w:tcPr>
          <w:p w14:paraId="76193C9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冯曼琳</w:t>
            </w:r>
          </w:p>
        </w:tc>
        <w:tc>
          <w:tcPr>
            <w:tcW w:w="2080" w:type="dxa"/>
            <w:vMerge/>
            <w:tcBorders>
              <w:top w:val="nil"/>
              <w:left w:val="single" w:sz="4" w:space="0" w:color="auto"/>
              <w:bottom w:val="single" w:sz="4" w:space="0" w:color="auto"/>
              <w:right w:val="single" w:sz="4" w:space="0" w:color="auto"/>
            </w:tcBorders>
            <w:vAlign w:val="center"/>
          </w:tcPr>
          <w:p w14:paraId="413794E0"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0C572B9F" w14:textId="77777777" w:rsidR="003715A2" w:rsidRDefault="003715A2" w:rsidP="005754EE">
            <w:pPr>
              <w:jc w:val="center"/>
              <w:rPr>
                <w:rFonts w:ascii="楷体" w:eastAsia="楷体" w:hAnsi="楷体" w:cs="宋体" w:hint="eastAsia"/>
                <w:color w:val="000000"/>
                <w:sz w:val="22"/>
              </w:rPr>
            </w:pPr>
          </w:p>
        </w:tc>
      </w:tr>
      <w:tr w:rsidR="003715A2" w14:paraId="7E624D33"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03F95F4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13</w:t>
            </w:r>
          </w:p>
        </w:tc>
        <w:tc>
          <w:tcPr>
            <w:tcW w:w="1080" w:type="dxa"/>
            <w:tcBorders>
              <w:top w:val="nil"/>
              <w:left w:val="nil"/>
              <w:bottom w:val="single" w:sz="4" w:space="0" w:color="auto"/>
              <w:right w:val="single" w:sz="4" w:space="0" w:color="auto"/>
            </w:tcBorders>
            <w:shd w:val="clear" w:color="auto" w:fill="auto"/>
            <w:vAlign w:val="center"/>
          </w:tcPr>
          <w:p w14:paraId="10CA15F2"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陈芮琪</w:t>
            </w:r>
          </w:p>
        </w:tc>
        <w:tc>
          <w:tcPr>
            <w:tcW w:w="2080" w:type="dxa"/>
            <w:vMerge/>
            <w:tcBorders>
              <w:top w:val="nil"/>
              <w:left w:val="single" w:sz="4" w:space="0" w:color="auto"/>
              <w:bottom w:val="single" w:sz="4" w:space="0" w:color="auto"/>
              <w:right w:val="single" w:sz="4" w:space="0" w:color="auto"/>
            </w:tcBorders>
            <w:vAlign w:val="center"/>
          </w:tcPr>
          <w:p w14:paraId="33B899E4"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4BF4836A" w14:textId="77777777" w:rsidR="003715A2" w:rsidRDefault="003715A2" w:rsidP="005754EE">
            <w:pPr>
              <w:jc w:val="center"/>
              <w:rPr>
                <w:rFonts w:ascii="楷体" w:eastAsia="楷体" w:hAnsi="楷体" w:cs="宋体" w:hint="eastAsia"/>
                <w:color w:val="000000"/>
                <w:sz w:val="22"/>
              </w:rPr>
            </w:pPr>
          </w:p>
        </w:tc>
      </w:tr>
      <w:tr w:rsidR="003715A2" w14:paraId="22550C26"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1C38999C"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14</w:t>
            </w:r>
          </w:p>
        </w:tc>
        <w:tc>
          <w:tcPr>
            <w:tcW w:w="1080" w:type="dxa"/>
            <w:tcBorders>
              <w:top w:val="nil"/>
              <w:left w:val="nil"/>
              <w:bottom w:val="single" w:sz="4" w:space="0" w:color="auto"/>
              <w:right w:val="single" w:sz="4" w:space="0" w:color="auto"/>
            </w:tcBorders>
            <w:shd w:val="clear" w:color="auto" w:fill="auto"/>
            <w:vAlign w:val="center"/>
          </w:tcPr>
          <w:p w14:paraId="4269C7B8"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余珮凡</w:t>
            </w:r>
          </w:p>
        </w:tc>
        <w:tc>
          <w:tcPr>
            <w:tcW w:w="2080" w:type="dxa"/>
            <w:vMerge/>
            <w:tcBorders>
              <w:top w:val="nil"/>
              <w:left w:val="single" w:sz="4" w:space="0" w:color="auto"/>
              <w:bottom w:val="single" w:sz="4" w:space="0" w:color="auto"/>
              <w:right w:val="single" w:sz="4" w:space="0" w:color="auto"/>
            </w:tcBorders>
            <w:vAlign w:val="center"/>
          </w:tcPr>
          <w:p w14:paraId="6F1FB3B6"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2E3E2D1A" w14:textId="77777777" w:rsidR="003715A2" w:rsidRDefault="003715A2" w:rsidP="005754EE">
            <w:pPr>
              <w:jc w:val="center"/>
              <w:rPr>
                <w:rFonts w:ascii="楷体" w:eastAsia="楷体" w:hAnsi="楷体" w:cs="宋体" w:hint="eastAsia"/>
                <w:color w:val="000000"/>
                <w:sz w:val="22"/>
              </w:rPr>
            </w:pPr>
          </w:p>
        </w:tc>
      </w:tr>
      <w:tr w:rsidR="003715A2" w14:paraId="5DE0B5BE"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33BFCF25"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15</w:t>
            </w:r>
          </w:p>
        </w:tc>
        <w:tc>
          <w:tcPr>
            <w:tcW w:w="1080" w:type="dxa"/>
            <w:tcBorders>
              <w:top w:val="nil"/>
              <w:left w:val="single" w:sz="4" w:space="0" w:color="auto"/>
              <w:bottom w:val="single" w:sz="4" w:space="0" w:color="auto"/>
              <w:right w:val="single" w:sz="4" w:space="0" w:color="auto"/>
            </w:tcBorders>
            <w:shd w:val="clear" w:color="auto" w:fill="auto"/>
            <w:vAlign w:val="center"/>
          </w:tcPr>
          <w:p w14:paraId="607A80E7"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金彦蕙</w:t>
            </w:r>
          </w:p>
        </w:tc>
        <w:tc>
          <w:tcPr>
            <w:tcW w:w="2080" w:type="dxa"/>
            <w:vMerge/>
            <w:tcBorders>
              <w:top w:val="nil"/>
              <w:left w:val="single" w:sz="4" w:space="0" w:color="auto"/>
              <w:bottom w:val="single" w:sz="4" w:space="0" w:color="auto"/>
              <w:right w:val="single" w:sz="4" w:space="0" w:color="auto"/>
            </w:tcBorders>
            <w:shd w:val="clear" w:color="auto" w:fill="auto"/>
            <w:vAlign w:val="center"/>
          </w:tcPr>
          <w:p w14:paraId="56AFFC2D"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shd w:val="clear" w:color="auto" w:fill="auto"/>
            <w:vAlign w:val="center"/>
          </w:tcPr>
          <w:p w14:paraId="386A3785" w14:textId="77777777" w:rsidR="003715A2" w:rsidRDefault="003715A2" w:rsidP="005754EE">
            <w:pPr>
              <w:jc w:val="center"/>
              <w:rPr>
                <w:rFonts w:ascii="楷体" w:eastAsia="楷体" w:hAnsi="楷体" w:cs="宋体" w:hint="eastAsia"/>
                <w:color w:val="000000"/>
                <w:sz w:val="22"/>
              </w:rPr>
            </w:pPr>
          </w:p>
        </w:tc>
      </w:tr>
      <w:tr w:rsidR="003715A2" w14:paraId="037138C9"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10A91E5B"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16</w:t>
            </w:r>
          </w:p>
        </w:tc>
        <w:tc>
          <w:tcPr>
            <w:tcW w:w="1080" w:type="dxa"/>
            <w:tcBorders>
              <w:top w:val="nil"/>
              <w:left w:val="single" w:sz="4" w:space="0" w:color="auto"/>
              <w:bottom w:val="single" w:sz="4" w:space="0" w:color="auto"/>
              <w:right w:val="single" w:sz="4" w:space="0" w:color="auto"/>
            </w:tcBorders>
            <w:vAlign w:val="center"/>
          </w:tcPr>
          <w:p w14:paraId="42FE44DA"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杨北芳</w:t>
            </w:r>
          </w:p>
        </w:tc>
        <w:tc>
          <w:tcPr>
            <w:tcW w:w="2080" w:type="dxa"/>
            <w:vMerge/>
            <w:tcBorders>
              <w:top w:val="nil"/>
              <w:left w:val="single" w:sz="4" w:space="0" w:color="auto"/>
              <w:bottom w:val="single" w:sz="4" w:space="0" w:color="auto"/>
              <w:right w:val="single" w:sz="4" w:space="0" w:color="auto"/>
            </w:tcBorders>
            <w:vAlign w:val="center"/>
          </w:tcPr>
          <w:p w14:paraId="2FA43716"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49E2234E" w14:textId="77777777" w:rsidR="003715A2" w:rsidRDefault="003715A2" w:rsidP="005754EE">
            <w:pPr>
              <w:jc w:val="center"/>
              <w:rPr>
                <w:rFonts w:ascii="楷体" w:eastAsia="楷体" w:hAnsi="楷体" w:cs="宋体" w:hint="eastAsia"/>
                <w:color w:val="000000"/>
                <w:sz w:val="22"/>
              </w:rPr>
            </w:pPr>
          </w:p>
        </w:tc>
      </w:tr>
      <w:tr w:rsidR="003715A2" w14:paraId="45EB1225"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299C3B81"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17</w:t>
            </w:r>
          </w:p>
        </w:tc>
        <w:tc>
          <w:tcPr>
            <w:tcW w:w="1080" w:type="dxa"/>
            <w:tcBorders>
              <w:top w:val="nil"/>
              <w:left w:val="nil"/>
              <w:bottom w:val="single" w:sz="4" w:space="0" w:color="auto"/>
              <w:right w:val="single" w:sz="4" w:space="0" w:color="auto"/>
            </w:tcBorders>
            <w:shd w:val="clear" w:color="auto" w:fill="auto"/>
            <w:vAlign w:val="center"/>
          </w:tcPr>
          <w:p w14:paraId="69A39E73"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黎雅文</w:t>
            </w:r>
          </w:p>
        </w:tc>
        <w:tc>
          <w:tcPr>
            <w:tcW w:w="2080" w:type="dxa"/>
            <w:vMerge/>
            <w:tcBorders>
              <w:top w:val="nil"/>
              <w:left w:val="single" w:sz="4" w:space="0" w:color="auto"/>
              <w:bottom w:val="single" w:sz="4" w:space="0" w:color="auto"/>
              <w:right w:val="single" w:sz="4" w:space="0" w:color="auto"/>
            </w:tcBorders>
            <w:vAlign w:val="center"/>
          </w:tcPr>
          <w:p w14:paraId="450292C5"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0EC5661D" w14:textId="77777777" w:rsidR="003715A2" w:rsidRDefault="003715A2" w:rsidP="005754EE">
            <w:pPr>
              <w:jc w:val="center"/>
              <w:rPr>
                <w:rFonts w:ascii="楷体" w:eastAsia="楷体" w:hAnsi="楷体" w:cs="宋体" w:hint="eastAsia"/>
                <w:color w:val="000000"/>
                <w:sz w:val="22"/>
              </w:rPr>
            </w:pPr>
          </w:p>
        </w:tc>
      </w:tr>
      <w:tr w:rsidR="003715A2" w14:paraId="7E35CC9A"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6623E457"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18</w:t>
            </w:r>
          </w:p>
        </w:tc>
        <w:tc>
          <w:tcPr>
            <w:tcW w:w="1080" w:type="dxa"/>
            <w:tcBorders>
              <w:top w:val="nil"/>
              <w:left w:val="nil"/>
              <w:bottom w:val="single" w:sz="4" w:space="0" w:color="auto"/>
              <w:right w:val="single" w:sz="4" w:space="0" w:color="auto"/>
            </w:tcBorders>
            <w:shd w:val="clear" w:color="auto" w:fill="auto"/>
            <w:vAlign w:val="center"/>
          </w:tcPr>
          <w:p w14:paraId="09FBC1B7"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韩敬峰</w:t>
            </w:r>
            <w:proofErr w:type="gramEnd"/>
          </w:p>
        </w:tc>
        <w:tc>
          <w:tcPr>
            <w:tcW w:w="2080" w:type="dxa"/>
            <w:vMerge/>
            <w:tcBorders>
              <w:top w:val="nil"/>
              <w:left w:val="single" w:sz="4" w:space="0" w:color="auto"/>
              <w:bottom w:val="single" w:sz="4" w:space="0" w:color="auto"/>
              <w:right w:val="single" w:sz="4" w:space="0" w:color="auto"/>
            </w:tcBorders>
            <w:vAlign w:val="center"/>
          </w:tcPr>
          <w:p w14:paraId="1A43305F"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1EA36A68" w14:textId="77777777" w:rsidR="003715A2" w:rsidRDefault="003715A2" w:rsidP="005754EE">
            <w:pPr>
              <w:jc w:val="center"/>
              <w:rPr>
                <w:rFonts w:ascii="楷体" w:eastAsia="楷体" w:hAnsi="楷体" w:cs="宋体" w:hint="eastAsia"/>
                <w:color w:val="000000"/>
                <w:sz w:val="22"/>
              </w:rPr>
            </w:pPr>
          </w:p>
        </w:tc>
      </w:tr>
      <w:tr w:rsidR="003715A2" w14:paraId="24C0B751"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70F73251"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lastRenderedPageBreak/>
              <w:t>19</w:t>
            </w:r>
          </w:p>
        </w:tc>
        <w:tc>
          <w:tcPr>
            <w:tcW w:w="1080" w:type="dxa"/>
            <w:tcBorders>
              <w:top w:val="nil"/>
              <w:left w:val="nil"/>
              <w:bottom w:val="single" w:sz="4" w:space="0" w:color="auto"/>
              <w:right w:val="single" w:sz="4" w:space="0" w:color="auto"/>
            </w:tcBorders>
            <w:shd w:val="clear" w:color="auto" w:fill="auto"/>
            <w:vAlign w:val="center"/>
          </w:tcPr>
          <w:p w14:paraId="56524FBA"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荆浩志</w:t>
            </w:r>
          </w:p>
        </w:tc>
        <w:tc>
          <w:tcPr>
            <w:tcW w:w="2080" w:type="dxa"/>
            <w:vMerge/>
            <w:tcBorders>
              <w:top w:val="nil"/>
              <w:left w:val="single" w:sz="4" w:space="0" w:color="auto"/>
              <w:bottom w:val="single" w:sz="4" w:space="0" w:color="auto"/>
              <w:right w:val="single" w:sz="4" w:space="0" w:color="auto"/>
            </w:tcBorders>
            <w:vAlign w:val="center"/>
          </w:tcPr>
          <w:p w14:paraId="2EC9679E"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7F98D217" w14:textId="77777777" w:rsidR="003715A2" w:rsidRDefault="003715A2" w:rsidP="005754EE">
            <w:pPr>
              <w:jc w:val="center"/>
              <w:rPr>
                <w:rFonts w:ascii="楷体" w:eastAsia="楷体" w:hAnsi="楷体" w:cs="宋体" w:hint="eastAsia"/>
                <w:color w:val="000000"/>
                <w:sz w:val="22"/>
              </w:rPr>
            </w:pPr>
          </w:p>
        </w:tc>
      </w:tr>
      <w:tr w:rsidR="003715A2" w14:paraId="21201550"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104554C1"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20</w:t>
            </w:r>
          </w:p>
        </w:tc>
        <w:tc>
          <w:tcPr>
            <w:tcW w:w="1080" w:type="dxa"/>
            <w:tcBorders>
              <w:top w:val="nil"/>
              <w:left w:val="nil"/>
              <w:bottom w:val="single" w:sz="4" w:space="0" w:color="auto"/>
              <w:right w:val="single" w:sz="4" w:space="0" w:color="auto"/>
            </w:tcBorders>
            <w:shd w:val="clear" w:color="auto" w:fill="auto"/>
            <w:vAlign w:val="center"/>
          </w:tcPr>
          <w:p w14:paraId="4ED117AD"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 xml:space="preserve">张天朗 </w:t>
            </w:r>
          </w:p>
        </w:tc>
        <w:tc>
          <w:tcPr>
            <w:tcW w:w="2080" w:type="dxa"/>
            <w:vMerge/>
            <w:tcBorders>
              <w:top w:val="nil"/>
              <w:left w:val="single" w:sz="4" w:space="0" w:color="auto"/>
              <w:bottom w:val="single" w:sz="4" w:space="0" w:color="auto"/>
              <w:right w:val="single" w:sz="4" w:space="0" w:color="auto"/>
            </w:tcBorders>
            <w:vAlign w:val="center"/>
          </w:tcPr>
          <w:p w14:paraId="46861E17"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223D34D2" w14:textId="77777777" w:rsidR="003715A2" w:rsidRDefault="003715A2" w:rsidP="005754EE">
            <w:pPr>
              <w:jc w:val="center"/>
              <w:rPr>
                <w:rFonts w:ascii="楷体" w:eastAsia="楷体" w:hAnsi="楷体" w:cs="宋体" w:hint="eastAsia"/>
                <w:color w:val="000000"/>
                <w:sz w:val="22"/>
              </w:rPr>
            </w:pPr>
          </w:p>
        </w:tc>
      </w:tr>
      <w:tr w:rsidR="003715A2" w14:paraId="7C6B9446"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66DE5A4E"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21</w:t>
            </w:r>
          </w:p>
        </w:tc>
        <w:tc>
          <w:tcPr>
            <w:tcW w:w="1080" w:type="dxa"/>
            <w:tcBorders>
              <w:top w:val="nil"/>
              <w:left w:val="nil"/>
              <w:bottom w:val="single" w:sz="4" w:space="0" w:color="auto"/>
              <w:right w:val="single" w:sz="4" w:space="0" w:color="auto"/>
            </w:tcBorders>
            <w:shd w:val="clear" w:color="auto" w:fill="auto"/>
            <w:vAlign w:val="center"/>
          </w:tcPr>
          <w:p w14:paraId="7B3B3DAC"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张锐跃</w:t>
            </w:r>
            <w:proofErr w:type="gramEnd"/>
          </w:p>
        </w:tc>
        <w:tc>
          <w:tcPr>
            <w:tcW w:w="2080" w:type="dxa"/>
            <w:vMerge/>
            <w:tcBorders>
              <w:top w:val="nil"/>
              <w:left w:val="single" w:sz="4" w:space="0" w:color="auto"/>
              <w:bottom w:val="single" w:sz="4" w:space="0" w:color="auto"/>
              <w:right w:val="single" w:sz="4" w:space="0" w:color="auto"/>
            </w:tcBorders>
            <w:vAlign w:val="center"/>
          </w:tcPr>
          <w:p w14:paraId="2AB9D96F"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36D74B2B" w14:textId="77777777" w:rsidR="003715A2" w:rsidRDefault="003715A2" w:rsidP="005754EE">
            <w:pPr>
              <w:jc w:val="center"/>
              <w:rPr>
                <w:rFonts w:ascii="楷体" w:eastAsia="楷体" w:hAnsi="楷体" w:cs="宋体" w:hint="eastAsia"/>
                <w:color w:val="000000"/>
                <w:sz w:val="22"/>
              </w:rPr>
            </w:pPr>
          </w:p>
        </w:tc>
      </w:tr>
      <w:tr w:rsidR="003715A2" w14:paraId="286E5932"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46243199"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22</w:t>
            </w:r>
          </w:p>
        </w:tc>
        <w:tc>
          <w:tcPr>
            <w:tcW w:w="1080" w:type="dxa"/>
            <w:tcBorders>
              <w:top w:val="nil"/>
              <w:left w:val="nil"/>
              <w:bottom w:val="single" w:sz="4" w:space="0" w:color="auto"/>
              <w:right w:val="single" w:sz="4" w:space="0" w:color="auto"/>
            </w:tcBorders>
            <w:shd w:val="clear" w:color="auto" w:fill="auto"/>
            <w:vAlign w:val="center"/>
          </w:tcPr>
          <w:p w14:paraId="758F9145"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张子晗</w:t>
            </w:r>
          </w:p>
        </w:tc>
        <w:tc>
          <w:tcPr>
            <w:tcW w:w="2080" w:type="dxa"/>
            <w:vMerge/>
            <w:tcBorders>
              <w:top w:val="nil"/>
              <w:left w:val="single" w:sz="4" w:space="0" w:color="auto"/>
              <w:bottom w:val="single" w:sz="4" w:space="0" w:color="auto"/>
              <w:right w:val="single" w:sz="4" w:space="0" w:color="auto"/>
            </w:tcBorders>
            <w:vAlign w:val="center"/>
          </w:tcPr>
          <w:p w14:paraId="1FC50A57"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652A7243" w14:textId="77777777" w:rsidR="003715A2" w:rsidRDefault="003715A2" w:rsidP="005754EE">
            <w:pPr>
              <w:jc w:val="center"/>
              <w:rPr>
                <w:rFonts w:ascii="楷体" w:eastAsia="楷体" w:hAnsi="楷体" w:cs="宋体" w:hint="eastAsia"/>
                <w:color w:val="000000"/>
                <w:sz w:val="22"/>
              </w:rPr>
            </w:pPr>
          </w:p>
        </w:tc>
      </w:tr>
      <w:tr w:rsidR="003715A2" w14:paraId="30E088D7"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2C609960"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23</w:t>
            </w:r>
          </w:p>
        </w:tc>
        <w:tc>
          <w:tcPr>
            <w:tcW w:w="1080" w:type="dxa"/>
            <w:tcBorders>
              <w:top w:val="nil"/>
              <w:left w:val="nil"/>
              <w:bottom w:val="single" w:sz="4" w:space="0" w:color="auto"/>
              <w:right w:val="single" w:sz="4" w:space="0" w:color="auto"/>
            </w:tcBorders>
            <w:shd w:val="clear" w:color="auto" w:fill="auto"/>
            <w:vAlign w:val="center"/>
          </w:tcPr>
          <w:p w14:paraId="10E8B2EC"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谭彦林</w:t>
            </w:r>
          </w:p>
        </w:tc>
        <w:tc>
          <w:tcPr>
            <w:tcW w:w="2080" w:type="dxa"/>
            <w:vMerge/>
            <w:tcBorders>
              <w:top w:val="nil"/>
              <w:left w:val="single" w:sz="4" w:space="0" w:color="auto"/>
              <w:bottom w:val="single" w:sz="4" w:space="0" w:color="auto"/>
              <w:right w:val="single" w:sz="4" w:space="0" w:color="auto"/>
            </w:tcBorders>
            <w:shd w:val="clear" w:color="auto" w:fill="auto"/>
            <w:vAlign w:val="center"/>
          </w:tcPr>
          <w:p w14:paraId="4A24C04E"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shd w:val="clear" w:color="auto" w:fill="auto"/>
            <w:vAlign w:val="center"/>
          </w:tcPr>
          <w:p w14:paraId="7EF24F7E" w14:textId="77777777" w:rsidR="003715A2" w:rsidRDefault="003715A2" w:rsidP="005754EE">
            <w:pPr>
              <w:jc w:val="center"/>
              <w:rPr>
                <w:rFonts w:ascii="楷体" w:eastAsia="楷体" w:hAnsi="楷体" w:cs="宋体" w:hint="eastAsia"/>
                <w:color w:val="000000"/>
                <w:sz w:val="22"/>
              </w:rPr>
            </w:pPr>
          </w:p>
        </w:tc>
      </w:tr>
      <w:tr w:rsidR="003715A2" w14:paraId="7C83F8F9"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30EE6185"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24</w:t>
            </w:r>
          </w:p>
        </w:tc>
        <w:tc>
          <w:tcPr>
            <w:tcW w:w="1080" w:type="dxa"/>
            <w:tcBorders>
              <w:top w:val="nil"/>
              <w:left w:val="nil"/>
              <w:bottom w:val="single" w:sz="4" w:space="0" w:color="auto"/>
              <w:right w:val="single" w:sz="4" w:space="0" w:color="auto"/>
            </w:tcBorders>
            <w:shd w:val="clear" w:color="auto" w:fill="auto"/>
            <w:vAlign w:val="center"/>
          </w:tcPr>
          <w:p w14:paraId="441FF4B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刘文豪</w:t>
            </w:r>
          </w:p>
        </w:tc>
        <w:tc>
          <w:tcPr>
            <w:tcW w:w="2080" w:type="dxa"/>
            <w:vMerge/>
            <w:tcBorders>
              <w:top w:val="nil"/>
              <w:left w:val="single" w:sz="4" w:space="0" w:color="auto"/>
              <w:bottom w:val="single" w:sz="4" w:space="0" w:color="auto"/>
              <w:right w:val="single" w:sz="4" w:space="0" w:color="auto"/>
            </w:tcBorders>
            <w:vAlign w:val="center"/>
          </w:tcPr>
          <w:p w14:paraId="18FD1D87"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41628B3A" w14:textId="77777777" w:rsidR="003715A2" w:rsidRDefault="003715A2" w:rsidP="005754EE">
            <w:pPr>
              <w:jc w:val="center"/>
              <w:rPr>
                <w:rFonts w:ascii="楷体" w:eastAsia="楷体" w:hAnsi="楷体" w:cs="宋体" w:hint="eastAsia"/>
                <w:color w:val="000000"/>
                <w:sz w:val="22"/>
              </w:rPr>
            </w:pPr>
          </w:p>
        </w:tc>
      </w:tr>
      <w:tr w:rsidR="003715A2" w14:paraId="043D96C0"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6DF35E8B"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25</w:t>
            </w:r>
          </w:p>
        </w:tc>
        <w:tc>
          <w:tcPr>
            <w:tcW w:w="1080" w:type="dxa"/>
            <w:tcBorders>
              <w:top w:val="nil"/>
              <w:left w:val="nil"/>
              <w:bottom w:val="single" w:sz="4" w:space="0" w:color="auto"/>
              <w:right w:val="single" w:sz="4" w:space="0" w:color="auto"/>
            </w:tcBorders>
            <w:shd w:val="clear" w:color="auto" w:fill="auto"/>
            <w:vAlign w:val="center"/>
          </w:tcPr>
          <w:p w14:paraId="2C7EDE87"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李欣学</w:t>
            </w:r>
            <w:proofErr w:type="gramEnd"/>
          </w:p>
        </w:tc>
        <w:tc>
          <w:tcPr>
            <w:tcW w:w="2080" w:type="dxa"/>
            <w:vMerge/>
            <w:tcBorders>
              <w:top w:val="nil"/>
              <w:left w:val="single" w:sz="4" w:space="0" w:color="auto"/>
              <w:bottom w:val="single" w:sz="4" w:space="0" w:color="auto"/>
              <w:right w:val="single" w:sz="4" w:space="0" w:color="auto"/>
            </w:tcBorders>
            <w:vAlign w:val="center"/>
          </w:tcPr>
          <w:p w14:paraId="1A2BA767"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17C1E367" w14:textId="77777777" w:rsidR="003715A2" w:rsidRDefault="003715A2" w:rsidP="005754EE">
            <w:pPr>
              <w:jc w:val="center"/>
              <w:rPr>
                <w:rFonts w:ascii="楷体" w:eastAsia="楷体" w:hAnsi="楷体" w:cs="宋体" w:hint="eastAsia"/>
                <w:color w:val="000000"/>
                <w:sz w:val="22"/>
              </w:rPr>
            </w:pPr>
          </w:p>
        </w:tc>
      </w:tr>
      <w:tr w:rsidR="003715A2" w14:paraId="65469FF0"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49CCFD4B"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26</w:t>
            </w:r>
          </w:p>
        </w:tc>
        <w:tc>
          <w:tcPr>
            <w:tcW w:w="1080" w:type="dxa"/>
            <w:tcBorders>
              <w:top w:val="nil"/>
              <w:left w:val="nil"/>
              <w:bottom w:val="single" w:sz="4" w:space="0" w:color="auto"/>
              <w:right w:val="single" w:sz="4" w:space="0" w:color="auto"/>
            </w:tcBorders>
            <w:shd w:val="clear" w:color="auto" w:fill="auto"/>
            <w:vAlign w:val="center"/>
          </w:tcPr>
          <w:p w14:paraId="581E1344"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段雅琪</w:t>
            </w:r>
            <w:proofErr w:type="gramEnd"/>
          </w:p>
        </w:tc>
        <w:tc>
          <w:tcPr>
            <w:tcW w:w="2080" w:type="dxa"/>
            <w:vMerge/>
            <w:tcBorders>
              <w:top w:val="nil"/>
              <w:left w:val="single" w:sz="4" w:space="0" w:color="auto"/>
              <w:bottom w:val="single" w:sz="4" w:space="0" w:color="auto"/>
              <w:right w:val="single" w:sz="4" w:space="0" w:color="auto"/>
            </w:tcBorders>
            <w:vAlign w:val="center"/>
          </w:tcPr>
          <w:p w14:paraId="14D5FC8F"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7046C028" w14:textId="77777777" w:rsidR="003715A2" w:rsidRDefault="003715A2" w:rsidP="005754EE">
            <w:pPr>
              <w:jc w:val="center"/>
              <w:rPr>
                <w:rFonts w:ascii="楷体" w:eastAsia="楷体" w:hAnsi="楷体" w:cs="宋体" w:hint="eastAsia"/>
                <w:color w:val="000000"/>
                <w:sz w:val="22"/>
              </w:rPr>
            </w:pPr>
          </w:p>
        </w:tc>
      </w:tr>
      <w:tr w:rsidR="003715A2" w14:paraId="37872E81"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6172991F"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27</w:t>
            </w:r>
          </w:p>
        </w:tc>
        <w:tc>
          <w:tcPr>
            <w:tcW w:w="1080" w:type="dxa"/>
            <w:tcBorders>
              <w:top w:val="nil"/>
              <w:left w:val="nil"/>
              <w:bottom w:val="single" w:sz="4" w:space="0" w:color="auto"/>
              <w:right w:val="single" w:sz="4" w:space="0" w:color="auto"/>
            </w:tcBorders>
            <w:shd w:val="clear" w:color="auto" w:fill="auto"/>
            <w:vAlign w:val="center"/>
          </w:tcPr>
          <w:p w14:paraId="0469196D"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许洁仪</w:t>
            </w:r>
            <w:proofErr w:type="gramEnd"/>
          </w:p>
        </w:tc>
        <w:tc>
          <w:tcPr>
            <w:tcW w:w="2080" w:type="dxa"/>
            <w:vMerge/>
            <w:tcBorders>
              <w:top w:val="nil"/>
              <w:left w:val="single" w:sz="4" w:space="0" w:color="auto"/>
              <w:bottom w:val="single" w:sz="4" w:space="0" w:color="auto"/>
              <w:right w:val="single" w:sz="4" w:space="0" w:color="auto"/>
            </w:tcBorders>
            <w:vAlign w:val="center"/>
          </w:tcPr>
          <w:p w14:paraId="4F0111EF"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7719E586" w14:textId="77777777" w:rsidR="003715A2" w:rsidRDefault="003715A2" w:rsidP="005754EE">
            <w:pPr>
              <w:jc w:val="center"/>
              <w:rPr>
                <w:rFonts w:ascii="楷体" w:eastAsia="楷体" w:hAnsi="楷体" w:cs="宋体" w:hint="eastAsia"/>
                <w:color w:val="000000"/>
                <w:sz w:val="22"/>
              </w:rPr>
            </w:pPr>
          </w:p>
        </w:tc>
      </w:tr>
      <w:tr w:rsidR="003715A2" w14:paraId="4887CBA9"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580FE932"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28</w:t>
            </w:r>
          </w:p>
        </w:tc>
        <w:tc>
          <w:tcPr>
            <w:tcW w:w="1080" w:type="dxa"/>
            <w:tcBorders>
              <w:top w:val="nil"/>
              <w:left w:val="nil"/>
              <w:bottom w:val="single" w:sz="4" w:space="0" w:color="auto"/>
              <w:right w:val="single" w:sz="4" w:space="0" w:color="auto"/>
            </w:tcBorders>
            <w:shd w:val="clear" w:color="auto" w:fill="auto"/>
            <w:vAlign w:val="center"/>
          </w:tcPr>
          <w:p w14:paraId="7572174D"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敖卓婷</w:t>
            </w:r>
          </w:p>
        </w:tc>
        <w:tc>
          <w:tcPr>
            <w:tcW w:w="2080" w:type="dxa"/>
            <w:vMerge/>
            <w:tcBorders>
              <w:top w:val="nil"/>
              <w:left w:val="single" w:sz="4" w:space="0" w:color="auto"/>
              <w:bottom w:val="single" w:sz="4" w:space="0" w:color="auto"/>
              <w:right w:val="single" w:sz="4" w:space="0" w:color="auto"/>
            </w:tcBorders>
            <w:vAlign w:val="center"/>
          </w:tcPr>
          <w:p w14:paraId="34F4D3A5"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2F681F5C" w14:textId="77777777" w:rsidR="003715A2" w:rsidRDefault="003715A2" w:rsidP="005754EE">
            <w:pPr>
              <w:jc w:val="center"/>
              <w:rPr>
                <w:rFonts w:ascii="楷体" w:eastAsia="楷体" w:hAnsi="楷体" w:cs="宋体" w:hint="eastAsia"/>
                <w:color w:val="000000"/>
                <w:sz w:val="22"/>
              </w:rPr>
            </w:pPr>
          </w:p>
        </w:tc>
      </w:tr>
      <w:tr w:rsidR="003715A2" w14:paraId="6F008D3E"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1C9CF7ED"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29</w:t>
            </w:r>
          </w:p>
        </w:tc>
        <w:tc>
          <w:tcPr>
            <w:tcW w:w="1080" w:type="dxa"/>
            <w:tcBorders>
              <w:top w:val="nil"/>
              <w:left w:val="nil"/>
              <w:bottom w:val="single" w:sz="4" w:space="0" w:color="auto"/>
              <w:right w:val="single" w:sz="4" w:space="0" w:color="auto"/>
            </w:tcBorders>
            <w:shd w:val="clear" w:color="auto" w:fill="auto"/>
            <w:vAlign w:val="center"/>
          </w:tcPr>
          <w:p w14:paraId="4CDFF74B"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黄嘉欣</w:t>
            </w:r>
          </w:p>
        </w:tc>
        <w:tc>
          <w:tcPr>
            <w:tcW w:w="2080" w:type="dxa"/>
            <w:vMerge/>
            <w:tcBorders>
              <w:top w:val="nil"/>
              <w:left w:val="single" w:sz="4" w:space="0" w:color="auto"/>
              <w:bottom w:val="single" w:sz="4" w:space="0" w:color="auto"/>
              <w:right w:val="single" w:sz="4" w:space="0" w:color="auto"/>
            </w:tcBorders>
            <w:vAlign w:val="center"/>
          </w:tcPr>
          <w:p w14:paraId="471EDAED"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05C19868" w14:textId="77777777" w:rsidR="003715A2" w:rsidRDefault="003715A2" w:rsidP="005754EE">
            <w:pPr>
              <w:jc w:val="center"/>
              <w:rPr>
                <w:rFonts w:ascii="楷体" w:eastAsia="楷体" w:hAnsi="楷体" w:cs="宋体" w:hint="eastAsia"/>
                <w:color w:val="000000"/>
                <w:sz w:val="22"/>
              </w:rPr>
            </w:pPr>
          </w:p>
        </w:tc>
      </w:tr>
      <w:tr w:rsidR="003715A2" w14:paraId="6690D2DA"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03377DF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30</w:t>
            </w:r>
          </w:p>
        </w:tc>
        <w:tc>
          <w:tcPr>
            <w:tcW w:w="1080" w:type="dxa"/>
            <w:tcBorders>
              <w:top w:val="nil"/>
              <w:left w:val="nil"/>
              <w:bottom w:val="single" w:sz="4" w:space="0" w:color="auto"/>
              <w:right w:val="single" w:sz="4" w:space="0" w:color="auto"/>
            </w:tcBorders>
            <w:shd w:val="clear" w:color="auto" w:fill="auto"/>
            <w:vAlign w:val="center"/>
          </w:tcPr>
          <w:p w14:paraId="02E7F25B"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彭欣雨</w:t>
            </w:r>
          </w:p>
        </w:tc>
        <w:tc>
          <w:tcPr>
            <w:tcW w:w="2080" w:type="dxa"/>
            <w:vMerge/>
            <w:tcBorders>
              <w:top w:val="nil"/>
              <w:left w:val="single" w:sz="4" w:space="0" w:color="auto"/>
              <w:bottom w:val="single" w:sz="4" w:space="0" w:color="auto"/>
              <w:right w:val="single" w:sz="4" w:space="0" w:color="auto"/>
            </w:tcBorders>
            <w:vAlign w:val="center"/>
          </w:tcPr>
          <w:p w14:paraId="17493214"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6E12E966" w14:textId="77777777" w:rsidR="003715A2" w:rsidRDefault="003715A2" w:rsidP="005754EE">
            <w:pPr>
              <w:jc w:val="center"/>
              <w:rPr>
                <w:rFonts w:ascii="楷体" w:eastAsia="楷体" w:hAnsi="楷体" w:cs="宋体" w:hint="eastAsia"/>
                <w:color w:val="000000"/>
                <w:sz w:val="22"/>
              </w:rPr>
            </w:pPr>
          </w:p>
        </w:tc>
      </w:tr>
      <w:tr w:rsidR="003715A2" w14:paraId="0EDC61F9"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5CF5D314"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31</w:t>
            </w:r>
          </w:p>
        </w:tc>
        <w:tc>
          <w:tcPr>
            <w:tcW w:w="1080" w:type="dxa"/>
            <w:tcBorders>
              <w:top w:val="nil"/>
              <w:left w:val="nil"/>
              <w:bottom w:val="single" w:sz="4" w:space="0" w:color="auto"/>
              <w:right w:val="single" w:sz="4" w:space="0" w:color="auto"/>
            </w:tcBorders>
            <w:shd w:val="clear" w:color="auto" w:fill="auto"/>
            <w:vAlign w:val="center"/>
          </w:tcPr>
          <w:p w14:paraId="5DAF96F5"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张换</w:t>
            </w:r>
            <w:proofErr w:type="gramEnd"/>
          </w:p>
        </w:tc>
        <w:tc>
          <w:tcPr>
            <w:tcW w:w="2080" w:type="dxa"/>
            <w:vMerge/>
            <w:tcBorders>
              <w:top w:val="nil"/>
              <w:left w:val="single" w:sz="4" w:space="0" w:color="auto"/>
              <w:bottom w:val="single" w:sz="4" w:space="0" w:color="auto"/>
              <w:right w:val="single" w:sz="4" w:space="0" w:color="auto"/>
            </w:tcBorders>
            <w:vAlign w:val="center"/>
          </w:tcPr>
          <w:p w14:paraId="343F1609"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single" w:sz="4" w:space="0" w:color="auto"/>
              <w:bottom w:val="single" w:sz="4" w:space="0" w:color="auto"/>
              <w:right w:val="single" w:sz="4" w:space="0" w:color="auto"/>
            </w:tcBorders>
            <w:vAlign w:val="center"/>
          </w:tcPr>
          <w:p w14:paraId="733D39B9" w14:textId="77777777" w:rsidR="003715A2" w:rsidRDefault="003715A2" w:rsidP="005754EE">
            <w:pPr>
              <w:jc w:val="center"/>
              <w:rPr>
                <w:rFonts w:ascii="楷体" w:eastAsia="楷体" w:hAnsi="楷体" w:cs="宋体" w:hint="eastAsia"/>
                <w:color w:val="000000"/>
                <w:sz w:val="22"/>
              </w:rPr>
            </w:pPr>
          </w:p>
        </w:tc>
      </w:tr>
      <w:tr w:rsidR="003715A2" w14:paraId="4932BD1C"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37A7595C"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32</w:t>
            </w:r>
          </w:p>
        </w:tc>
        <w:tc>
          <w:tcPr>
            <w:tcW w:w="1080" w:type="dxa"/>
            <w:tcBorders>
              <w:top w:val="nil"/>
              <w:left w:val="nil"/>
              <w:bottom w:val="single" w:sz="4" w:space="0" w:color="auto"/>
              <w:right w:val="single" w:sz="4" w:space="0" w:color="auto"/>
            </w:tcBorders>
            <w:shd w:val="clear" w:color="auto" w:fill="auto"/>
            <w:vAlign w:val="center"/>
          </w:tcPr>
          <w:p w14:paraId="2A1BF85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陈佳欣</w:t>
            </w:r>
          </w:p>
        </w:tc>
        <w:tc>
          <w:tcPr>
            <w:tcW w:w="2080" w:type="dxa"/>
            <w:vMerge/>
            <w:tcBorders>
              <w:top w:val="nil"/>
              <w:left w:val="nil"/>
              <w:bottom w:val="single" w:sz="4" w:space="0" w:color="auto"/>
              <w:right w:val="single" w:sz="4" w:space="0" w:color="auto"/>
            </w:tcBorders>
            <w:shd w:val="clear" w:color="auto" w:fill="auto"/>
            <w:vAlign w:val="center"/>
          </w:tcPr>
          <w:p w14:paraId="0E12D3E3"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nil"/>
              <w:bottom w:val="single" w:sz="4" w:space="0" w:color="auto"/>
              <w:right w:val="single" w:sz="4" w:space="0" w:color="auto"/>
            </w:tcBorders>
            <w:shd w:val="clear" w:color="auto" w:fill="auto"/>
            <w:vAlign w:val="center"/>
          </w:tcPr>
          <w:p w14:paraId="03575A60" w14:textId="77777777" w:rsidR="003715A2" w:rsidRDefault="003715A2" w:rsidP="005754EE">
            <w:pPr>
              <w:jc w:val="center"/>
              <w:rPr>
                <w:rFonts w:ascii="楷体" w:eastAsia="楷体" w:hAnsi="楷体" w:cs="宋体" w:hint="eastAsia"/>
                <w:color w:val="000000"/>
                <w:sz w:val="22"/>
              </w:rPr>
            </w:pPr>
          </w:p>
        </w:tc>
      </w:tr>
      <w:tr w:rsidR="003715A2" w14:paraId="07C8141B"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3A8DC9C4"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33</w:t>
            </w:r>
          </w:p>
        </w:tc>
        <w:tc>
          <w:tcPr>
            <w:tcW w:w="1080" w:type="dxa"/>
            <w:tcBorders>
              <w:top w:val="nil"/>
              <w:left w:val="nil"/>
              <w:bottom w:val="single" w:sz="4" w:space="0" w:color="auto"/>
              <w:right w:val="single" w:sz="4" w:space="0" w:color="auto"/>
            </w:tcBorders>
            <w:shd w:val="clear" w:color="auto" w:fill="auto"/>
            <w:vAlign w:val="center"/>
          </w:tcPr>
          <w:p w14:paraId="6C8241F0"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陈楠</w:t>
            </w:r>
          </w:p>
        </w:tc>
        <w:tc>
          <w:tcPr>
            <w:tcW w:w="2080" w:type="dxa"/>
            <w:vMerge/>
            <w:tcBorders>
              <w:top w:val="nil"/>
              <w:left w:val="nil"/>
              <w:bottom w:val="single" w:sz="4" w:space="0" w:color="auto"/>
              <w:right w:val="single" w:sz="4" w:space="0" w:color="auto"/>
            </w:tcBorders>
            <w:shd w:val="clear" w:color="auto" w:fill="auto"/>
            <w:vAlign w:val="center"/>
          </w:tcPr>
          <w:p w14:paraId="5C2876F1"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nil"/>
              <w:bottom w:val="single" w:sz="4" w:space="0" w:color="auto"/>
              <w:right w:val="single" w:sz="4" w:space="0" w:color="auto"/>
            </w:tcBorders>
            <w:shd w:val="clear" w:color="auto" w:fill="auto"/>
            <w:vAlign w:val="center"/>
          </w:tcPr>
          <w:p w14:paraId="1767E4FA" w14:textId="77777777" w:rsidR="003715A2" w:rsidRDefault="003715A2" w:rsidP="005754EE">
            <w:pPr>
              <w:jc w:val="center"/>
              <w:rPr>
                <w:rFonts w:ascii="楷体" w:eastAsia="楷体" w:hAnsi="楷体" w:cs="宋体" w:hint="eastAsia"/>
                <w:color w:val="000000"/>
                <w:sz w:val="22"/>
              </w:rPr>
            </w:pPr>
          </w:p>
        </w:tc>
      </w:tr>
      <w:tr w:rsidR="003715A2" w14:paraId="60283F23"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21B7F5A6"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34</w:t>
            </w:r>
          </w:p>
        </w:tc>
        <w:tc>
          <w:tcPr>
            <w:tcW w:w="1080" w:type="dxa"/>
            <w:tcBorders>
              <w:top w:val="nil"/>
              <w:left w:val="nil"/>
              <w:bottom w:val="single" w:sz="4" w:space="0" w:color="auto"/>
              <w:right w:val="single" w:sz="4" w:space="0" w:color="auto"/>
            </w:tcBorders>
            <w:shd w:val="clear" w:color="auto" w:fill="auto"/>
            <w:vAlign w:val="center"/>
          </w:tcPr>
          <w:p w14:paraId="2957B0BB"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22"/>
                <w:lang w:bidi="ar"/>
              </w:rPr>
              <w:t>张肖凌</w:t>
            </w:r>
            <w:proofErr w:type="gramEnd"/>
          </w:p>
        </w:tc>
        <w:tc>
          <w:tcPr>
            <w:tcW w:w="2080" w:type="dxa"/>
            <w:vMerge/>
            <w:tcBorders>
              <w:top w:val="nil"/>
              <w:left w:val="nil"/>
              <w:bottom w:val="single" w:sz="4" w:space="0" w:color="auto"/>
              <w:right w:val="single" w:sz="4" w:space="0" w:color="auto"/>
            </w:tcBorders>
            <w:shd w:val="clear" w:color="auto" w:fill="auto"/>
            <w:vAlign w:val="center"/>
          </w:tcPr>
          <w:p w14:paraId="2423BE17" w14:textId="77777777" w:rsidR="003715A2" w:rsidRDefault="003715A2" w:rsidP="005754EE">
            <w:pPr>
              <w:jc w:val="center"/>
              <w:rPr>
                <w:rFonts w:ascii="楷体" w:eastAsia="楷体" w:hAnsi="楷体" w:cs="宋体" w:hint="eastAsia"/>
                <w:color w:val="000000"/>
                <w:sz w:val="22"/>
              </w:rPr>
            </w:pPr>
          </w:p>
        </w:tc>
        <w:tc>
          <w:tcPr>
            <w:tcW w:w="6020" w:type="dxa"/>
            <w:vMerge/>
            <w:tcBorders>
              <w:top w:val="nil"/>
              <w:left w:val="nil"/>
              <w:bottom w:val="single" w:sz="4" w:space="0" w:color="auto"/>
              <w:right w:val="single" w:sz="4" w:space="0" w:color="auto"/>
            </w:tcBorders>
            <w:shd w:val="clear" w:color="auto" w:fill="auto"/>
            <w:vAlign w:val="center"/>
          </w:tcPr>
          <w:p w14:paraId="0A404F20" w14:textId="77777777" w:rsidR="003715A2" w:rsidRDefault="003715A2" w:rsidP="005754EE">
            <w:pPr>
              <w:jc w:val="center"/>
              <w:rPr>
                <w:rFonts w:ascii="楷体" w:eastAsia="楷体" w:hAnsi="楷体" w:cs="宋体" w:hint="eastAsia"/>
                <w:color w:val="000000"/>
                <w:sz w:val="22"/>
              </w:rPr>
            </w:pPr>
          </w:p>
        </w:tc>
      </w:tr>
      <w:tr w:rsidR="003715A2" w14:paraId="47FD6118" w14:textId="77777777" w:rsidTr="005754EE">
        <w:trPr>
          <w:trHeight w:val="799"/>
        </w:trPr>
        <w:tc>
          <w:tcPr>
            <w:tcW w:w="580" w:type="dxa"/>
            <w:tcBorders>
              <w:top w:val="nil"/>
              <w:left w:val="single" w:sz="4" w:space="0" w:color="auto"/>
              <w:bottom w:val="single" w:sz="4" w:space="0" w:color="auto"/>
              <w:right w:val="single" w:sz="4" w:space="0" w:color="auto"/>
            </w:tcBorders>
            <w:shd w:val="clear" w:color="auto" w:fill="auto"/>
            <w:vAlign w:val="center"/>
          </w:tcPr>
          <w:p w14:paraId="030B0A9E" w14:textId="77777777" w:rsidR="003715A2" w:rsidRDefault="003715A2" w:rsidP="005754EE">
            <w:pPr>
              <w:widowControl/>
              <w:jc w:val="left"/>
              <w:textAlignment w:val="center"/>
              <w:rPr>
                <w:rFonts w:ascii="楷体" w:eastAsia="楷体" w:hAnsi="楷体" w:cs="宋体" w:hint="eastAsia"/>
                <w:color w:val="000000"/>
                <w:sz w:val="22"/>
              </w:rPr>
            </w:pPr>
            <w:r>
              <w:rPr>
                <w:rFonts w:ascii="楷体" w:eastAsia="楷体" w:hAnsi="楷体" w:cs="楷体"/>
                <w:color w:val="000000"/>
                <w:sz w:val="22"/>
                <w:lang w:bidi="ar"/>
              </w:rPr>
              <w:t>35</w:t>
            </w:r>
          </w:p>
        </w:tc>
        <w:tc>
          <w:tcPr>
            <w:tcW w:w="1080" w:type="dxa"/>
            <w:tcBorders>
              <w:top w:val="nil"/>
              <w:left w:val="nil"/>
              <w:bottom w:val="single" w:sz="4" w:space="0" w:color="auto"/>
              <w:right w:val="single" w:sz="4" w:space="0" w:color="auto"/>
            </w:tcBorders>
            <w:shd w:val="clear" w:color="auto" w:fill="auto"/>
            <w:vAlign w:val="center"/>
          </w:tcPr>
          <w:p w14:paraId="59A30E43" w14:textId="77777777" w:rsidR="003715A2" w:rsidRDefault="003715A2" w:rsidP="005754EE">
            <w:pPr>
              <w:widowControl/>
              <w:jc w:val="left"/>
              <w:textAlignment w:val="center"/>
              <w:rPr>
                <w:rFonts w:ascii="楷体" w:eastAsia="楷体" w:hAnsi="楷体" w:cs="宋体" w:hint="eastAsia"/>
                <w:color w:val="000000"/>
                <w:sz w:val="22"/>
              </w:rPr>
            </w:pPr>
            <w:proofErr w:type="gramStart"/>
            <w:r>
              <w:rPr>
                <w:rFonts w:ascii="楷体" w:eastAsia="楷体" w:hAnsi="楷体" w:cs="楷体"/>
                <w:color w:val="000000"/>
                <w:sz w:val="18"/>
                <w:szCs w:val="18"/>
                <w:lang w:bidi="ar"/>
              </w:rPr>
              <w:t>张燕佳</w:t>
            </w:r>
            <w:proofErr w:type="gramEnd"/>
          </w:p>
        </w:tc>
        <w:tc>
          <w:tcPr>
            <w:tcW w:w="2080" w:type="dxa"/>
            <w:vMerge w:val="restart"/>
            <w:tcBorders>
              <w:top w:val="nil"/>
              <w:left w:val="nil"/>
              <w:bottom w:val="nil"/>
              <w:right w:val="single" w:sz="4" w:space="0" w:color="auto"/>
            </w:tcBorders>
            <w:shd w:val="clear" w:color="auto" w:fill="auto"/>
            <w:vAlign w:val="center"/>
          </w:tcPr>
          <w:p w14:paraId="5F670964" w14:textId="77777777" w:rsidR="003715A2" w:rsidRDefault="003715A2" w:rsidP="005754EE">
            <w:pPr>
              <w:widowControl/>
              <w:jc w:val="center"/>
              <w:textAlignment w:val="center"/>
              <w:rPr>
                <w:rFonts w:ascii="楷体" w:eastAsia="楷体" w:hAnsi="楷体" w:cs="宋体" w:hint="eastAsia"/>
                <w:color w:val="000000"/>
                <w:sz w:val="22"/>
              </w:rPr>
            </w:pPr>
            <w:r>
              <w:rPr>
                <w:rFonts w:ascii="楷体" w:eastAsia="楷体" w:hAnsi="楷体" w:cs="楷体"/>
                <w:color w:val="000000"/>
                <w:sz w:val="22"/>
                <w:lang w:bidi="ar"/>
              </w:rPr>
              <w:t>2024年（第十届）</w:t>
            </w:r>
            <w:proofErr w:type="spellStart"/>
            <w:r>
              <w:rPr>
                <w:rFonts w:ascii="楷体" w:eastAsia="楷体" w:hAnsi="楷体" w:cs="楷体"/>
                <w:color w:val="000000"/>
                <w:sz w:val="22"/>
                <w:lang w:bidi="ar"/>
              </w:rPr>
              <w:t>MPAcc</w:t>
            </w:r>
            <w:proofErr w:type="spellEnd"/>
            <w:r>
              <w:rPr>
                <w:rFonts w:ascii="楷体" w:eastAsia="楷体" w:hAnsi="楷体" w:cs="楷体"/>
                <w:color w:val="000000"/>
                <w:sz w:val="22"/>
                <w:lang w:bidi="ar"/>
              </w:rPr>
              <w:t>学生案例大赛</w:t>
            </w:r>
          </w:p>
        </w:tc>
        <w:tc>
          <w:tcPr>
            <w:tcW w:w="6020" w:type="dxa"/>
            <w:vMerge w:val="restart"/>
            <w:tcBorders>
              <w:top w:val="nil"/>
              <w:left w:val="nil"/>
              <w:bottom w:val="nil"/>
              <w:right w:val="single" w:sz="4" w:space="0" w:color="auto"/>
            </w:tcBorders>
            <w:shd w:val="clear" w:color="auto" w:fill="auto"/>
            <w:vAlign w:val="center"/>
          </w:tcPr>
          <w:p w14:paraId="0EE02523" w14:textId="77777777" w:rsidR="003715A2" w:rsidRDefault="003715A2" w:rsidP="005754EE">
            <w:pPr>
              <w:widowControl/>
              <w:jc w:val="center"/>
              <w:textAlignment w:val="center"/>
              <w:rPr>
                <w:rFonts w:ascii="楷体" w:eastAsia="楷体" w:hAnsi="楷体" w:cs="宋体" w:hint="eastAsia"/>
                <w:color w:val="000000"/>
                <w:sz w:val="22"/>
              </w:rPr>
            </w:pPr>
            <w:r>
              <w:rPr>
                <w:rFonts w:ascii="楷体" w:eastAsia="楷体" w:hAnsi="楷体" w:cs="楷体"/>
                <w:color w:val="000000"/>
                <w:sz w:val="22"/>
                <w:lang w:bidi="ar"/>
              </w:rPr>
              <w:t>在大赛过程中学生们会被赋予企业管理者的角色，面对复杂多变的市场环境、错综复杂的财务状况以及层出不穷的管理</w:t>
            </w:r>
            <w:r>
              <w:rPr>
                <w:rFonts w:ascii="楷体" w:eastAsia="楷体" w:hAnsi="楷体" w:cs="楷体"/>
                <w:color w:val="000000"/>
                <w:sz w:val="22"/>
                <w:lang w:bidi="ar"/>
              </w:rPr>
              <w:lastRenderedPageBreak/>
              <w:t>难题，他们需要运用扎实的专业知识和敏锐的商业洞察力，迅速做出合理的管理决策。从制定企业战略规划、优化财务资源配置，到应对突发的财务危机、解决棘手的成本控制问题，每一个决策都关乎企业的兴衰成败，这不仅考验着学生们的专业能力，更</w:t>
            </w:r>
            <w:proofErr w:type="gramStart"/>
            <w:r>
              <w:rPr>
                <w:rFonts w:ascii="楷体" w:eastAsia="楷体" w:hAnsi="楷体" w:cs="楷体"/>
                <w:color w:val="000000"/>
                <w:sz w:val="22"/>
                <w:lang w:bidi="ar"/>
              </w:rPr>
              <w:t>磨砺着</w:t>
            </w:r>
            <w:proofErr w:type="gramEnd"/>
            <w:r>
              <w:rPr>
                <w:rFonts w:ascii="楷体" w:eastAsia="楷体" w:hAnsi="楷体" w:cs="楷体"/>
                <w:color w:val="000000"/>
                <w:sz w:val="22"/>
                <w:lang w:bidi="ar"/>
              </w:rPr>
              <w:t>他们的决策魄力和应变能力。各参赛队伍需要将自己的分析思路和应对策略以清晰、有条理的方式呈现出来。他们不仅要在理论上论证方案的可行性，还要结合企业的实际情况，充分考虑方案的实施难度和预期效果。在激烈的竞争中，</w:t>
            </w:r>
            <w:proofErr w:type="gramStart"/>
            <w:r>
              <w:rPr>
                <w:rFonts w:ascii="楷体" w:eastAsia="楷体" w:hAnsi="楷体" w:cs="楷体"/>
                <w:color w:val="000000"/>
                <w:sz w:val="22"/>
                <w:lang w:bidi="ar"/>
              </w:rPr>
              <w:t>各队伍</w:t>
            </w:r>
            <w:proofErr w:type="gramEnd"/>
            <w:r>
              <w:rPr>
                <w:rFonts w:ascii="楷体" w:eastAsia="楷体" w:hAnsi="楷体" w:cs="楷体"/>
                <w:color w:val="000000"/>
                <w:sz w:val="22"/>
                <w:lang w:bidi="ar"/>
              </w:rPr>
              <w:t>相互切磋、相互学习，不断完善自己的方案，这种思维的碰撞和观点的交锋，极大地激发了学生们的创新意识和创造力。</w:t>
            </w:r>
            <w:r>
              <w:rPr>
                <w:rFonts w:ascii="楷体" w:eastAsia="楷体" w:hAnsi="楷体" w:cs="楷体"/>
                <w:color w:val="000000"/>
                <w:sz w:val="22"/>
                <w:lang w:bidi="ar"/>
              </w:rPr>
              <w:br/>
              <w:t xml:space="preserve">通过参与全国 </w:t>
            </w:r>
            <w:proofErr w:type="spellStart"/>
            <w:r>
              <w:rPr>
                <w:rFonts w:ascii="楷体" w:eastAsia="楷体" w:hAnsi="楷体" w:cs="楷体"/>
                <w:color w:val="000000"/>
                <w:sz w:val="22"/>
                <w:lang w:bidi="ar"/>
              </w:rPr>
              <w:t>MPAcc</w:t>
            </w:r>
            <w:proofErr w:type="spellEnd"/>
            <w:r>
              <w:rPr>
                <w:rFonts w:ascii="楷体" w:eastAsia="楷体" w:hAnsi="楷体" w:cs="楷体"/>
                <w:color w:val="000000"/>
                <w:sz w:val="22"/>
                <w:lang w:bidi="ar"/>
              </w:rPr>
              <w:t xml:space="preserve"> 案例大赛，学生们在实践中得到了全方位的锻炼和提升。他们学会了如何从企业的实际问题出发，运用所学的理论知识进行深入分析，找到问题的根源，并提出切实可行的解决方案。这种能力的培养，将使他们在未来的职业生涯中，能够迅速适应各种复杂的工作环境，成为企业管理的中流砥柱。</w:t>
            </w:r>
          </w:p>
        </w:tc>
      </w:tr>
      <w:tr w:rsidR="003715A2" w14:paraId="08E773FE"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5E82A418"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lastRenderedPageBreak/>
              <w:t>36</w:t>
            </w:r>
          </w:p>
        </w:tc>
        <w:tc>
          <w:tcPr>
            <w:tcW w:w="1080" w:type="dxa"/>
            <w:tcBorders>
              <w:top w:val="single" w:sz="4" w:space="0" w:color="auto"/>
              <w:left w:val="nil"/>
              <w:bottom w:val="single" w:sz="4" w:space="0" w:color="auto"/>
              <w:right w:val="single" w:sz="4" w:space="0" w:color="auto"/>
            </w:tcBorders>
            <w:shd w:val="clear" w:color="auto" w:fill="auto"/>
            <w:vAlign w:val="center"/>
          </w:tcPr>
          <w:p w14:paraId="54DE0668"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费瑶</w:t>
            </w:r>
            <w:proofErr w:type="gramEnd"/>
          </w:p>
        </w:tc>
        <w:tc>
          <w:tcPr>
            <w:tcW w:w="2080" w:type="dxa"/>
            <w:vMerge/>
            <w:tcBorders>
              <w:top w:val="nil"/>
              <w:left w:val="nil"/>
              <w:bottom w:val="nil"/>
              <w:right w:val="single" w:sz="4" w:space="0" w:color="auto"/>
            </w:tcBorders>
            <w:shd w:val="clear" w:color="auto" w:fill="auto"/>
            <w:vAlign w:val="center"/>
          </w:tcPr>
          <w:p w14:paraId="64A8ADE1"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3623725F" w14:textId="77777777" w:rsidR="003715A2" w:rsidRDefault="003715A2" w:rsidP="005754EE">
            <w:pPr>
              <w:jc w:val="center"/>
              <w:rPr>
                <w:rFonts w:ascii="楷体" w:eastAsia="楷体" w:hAnsi="楷体" w:cs="楷体" w:hint="eastAsia"/>
                <w:color w:val="000000"/>
                <w:sz w:val="22"/>
                <w:lang w:bidi="ar"/>
              </w:rPr>
            </w:pPr>
          </w:p>
        </w:tc>
      </w:tr>
      <w:tr w:rsidR="003715A2" w14:paraId="0B32C0C4"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25983B5"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37</w:t>
            </w:r>
          </w:p>
        </w:tc>
        <w:tc>
          <w:tcPr>
            <w:tcW w:w="1080" w:type="dxa"/>
            <w:tcBorders>
              <w:top w:val="single" w:sz="4" w:space="0" w:color="auto"/>
              <w:left w:val="nil"/>
              <w:bottom w:val="single" w:sz="4" w:space="0" w:color="auto"/>
              <w:right w:val="single" w:sz="4" w:space="0" w:color="auto"/>
            </w:tcBorders>
            <w:shd w:val="clear" w:color="auto" w:fill="auto"/>
            <w:vAlign w:val="center"/>
          </w:tcPr>
          <w:p w14:paraId="2F1E8594"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刘衍萌</w:t>
            </w:r>
            <w:proofErr w:type="gramEnd"/>
          </w:p>
        </w:tc>
        <w:tc>
          <w:tcPr>
            <w:tcW w:w="2080" w:type="dxa"/>
            <w:vMerge/>
            <w:tcBorders>
              <w:top w:val="nil"/>
              <w:left w:val="nil"/>
              <w:bottom w:val="nil"/>
              <w:right w:val="single" w:sz="4" w:space="0" w:color="auto"/>
            </w:tcBorders>
            <w:shd w:val="clear" w:color="auto" w:fill="auto"/>
            <w:vAlign w:val="center"/>
          </w:tcPr>
          <w:p w14:paraId="40F75BE7"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6C8D7E4A" w14:textId="77777777" w:rsidR="003715A2" w:rsidRDefault="003715A2" w:rsidP="005754EE">
            <w:pPr>
              <w:jc w:val="center"/>
              <w:rPr>
                <w:rFonts w:ascii="楷体" w:eastAsia="楷体" w:hAnsi="楷体" w:cs="楷体" w:hint="eastAsia"/>
                <w:color w:val="000000"/>
                <w:sz w:val="22"/>
                <w:lang w:bidi="ar"/>
              </w:rPr>
            </w:pPr>
          </w:p>
        </w:tc>
      </w:tr>
      <w:tr w:rsidR="003715A2" w14:paraId="1064D71C"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519D7A0"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38</w:t>
            </w:r>
          </w:p>
        </w:tc>
        <w:tc>
          <w:tcPr>
            <w:tcW w:w="1080" w:type="dxa"/>
            <w:tcBorders>
              <w:top w:val="single" w:sz="4" w:space="0" w:color="auto"/>
              <w:left w:val="nil"/>
              <w:bottom w:val="single" w:sz="4" w:space="0" w:color="auto"/>
              <w:right w:val="single" w:sz="4" w:space="0" w:color="auto"/>
            </w:tcBorders>
            <w:shd w:val="clear" w:color="auto" w:fill="auto"/>
            <w:vAlign w:val="center"/>
          </w:tcPr>
          <w:p w14:paraId="3B71E659"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黄悦琳</w:t>
            </w:r>
            <w:proofErr w:type="gramEnd"/>
          </w:p>
        </w:tc>
        <w:tc>
          <w:tcPr>
            <w:tcW w:w="2080" w:type="dxa"/>
            <w:vMerge/>
            <w:tcBorders>
              <w:top w:val="nil"/>
              <w:left w:val="nil"/>
              <w:bottom w:val="nil"/>
              <w:right w:val="single" w:sz="4" w:space="0" w:color="auto"/>
            </w:tcBorders>
            <w:shd w:val="clear" w:color="auto" w:fill="auto"/>
            <w:vAlign w:val="center"/>
          </w:tcPr>
          <w:p w14:paraId="1B9EBA47"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335CF662" w14:textId="77777777" w:rsidR="003715A2" w:rsidRDefault="003715A2" w:rsidP="005754EE">
            <w:pPr>
              <w:jc w:val="center"/>
              <w:rPr>
                <w:rFonts w:ascii="楷体" w:eastAsia="楷体" w:hAnsi="楷体" w:cs="楷体" w:hint="eastAsia"/>
                <w:color w:val="000000"/>
                <w:sz w:val="22"/>
                <w:lang w:bidi="ar"/>
              </w:rPr>
            </w:pPr>
          </w:p>
        </w:tc>
      </w:tr>
      <w:tr w:rsidR="003715A2" w14:paraId="7D763B03"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079D07EB"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39</w:t>
            </w:r>
          </w:p>
        </w:tc>
        <w:tc>
          <w:tcPr>
            <w:tcW w:w="1080" w:type="dxa"/>
            <w:tcBorders>
              <w:top w:val="single" w:sz="4" w:space="0" w:color="auto"/>
              <w:left w:val="nil"/>
              <w:bottom w:val="single" w:sz="4" w:space="0" w:color="auto"/>
              <w:right w:val="single" w:sz="4" w:space="0" w:color="auto"/>
            </w:tcBorders>
            <w:shd w:val="clear" w:color="auto" w:fill="auto"/>
            <w:vAlign w:val="center"/>
          </w:tcPr>
          <w:p w14:paraId="2E45856F"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曾希</w:t>
            </w:r>
            <w:proofErr w:type="gramEnd"/>
          </w:p>
        </w:tc>
        <w:tc>
          <w:tcPr>
            <w:tcW w:w="2080" w:type="dxa"/>
            <w:vMerge/>
            <w:tcBorders>
              <w:top w:val="nil"/>
              <w:left w:val="nil"/>
              <w:bottom w:val="nil"/>
              <w:right w:val="single" w:sz="4" w:space="0" w:color="auto"/>
            </w:tcBorders>
            <w:shd w:val="clear" w:color="auto" w:fill="auto"/>
            <w:vAlign w:val="center"/>
          </w:tcPr>
          <w:p w14:paraId="3C1CBC9B"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357C5283" w14:textId="77777777" w:rsidR="003715A2" w:rsidRDefault="003715A2" w:rsidP="005754EE">
            <w:pPr>
              <w:jc w:val="center"/>
              <w:rPr>
                <w:rFonts w:ascii="楷体" w:eastAsia="楷体" w:hAnsi="楷体" w:cs="楷体" w:hint="eastAsia"/>
                <w:color w:val="000000"/>
                <w:sz w:val="22"/>
                <w:lang w:bidi="ar"/>
              </w:rPr>
            </w:pPr>
          </w:p>
        </w:tc>
      </w:tr>
      <w:tr w:rsidR="003715A2" w14:paraId="3161000D"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BC2D09C"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40</w:t>
            </w:r>
          </w:p>
        </w:tc>
        <w:tc>
          <w:tcPr>
            <w:tcW w:w="1080" w:type="dxa"/>
            <w:tcBorders>
              <w:top w:val="single" w:sz="4" w:space="0" w:color="auto"/>
              <w:left w:val="nil"/>
              <w:bottom w:val="single" w:sz="4" w:space="0" w:color="auto"/>
              <w:right w:val="single" w:sz="4" w:space="0" w:color="auto"/>
            </w:tcBorders>
            <w:shd w:val="clear" w:color="auto" w:fill="auto"/>
            <w:vAlign w:val="center"/>
          </w:tcPr>
          <w:p w14:paraId="3BC9C784"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何启华</w:t>
            </w:r>
          </w:p>
        </w:tc>
        <w:tc>
          <w:tcPr>
            <w:tcW w:w="2080" w:type="dxa"/>
            <w:vMerge/>
            <w:tcBorders>
              <w:top w:val="nil"/>
              <w:left w:val="nil"/>
              <w:bottom w:val="nil"/>
              <w:right w:val="single" w:sz="4" w:space="0" w:color="auto"/>
            </w:tcBorders>
            <w:shd w:val="clear" w:color="auto" w:fill="auto"/>
            <w:vAlign w:val="center"/>
          </w:tcPr>
          <w:p w14:paraId="46F7DA6F"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2D83B91B" w14:textId="77777777" w:rsidR="003715A2" w:rsidRDefault="003715A2" w:rsidP="005754EE">
            <w:pPr>
              <w:jc w:val="center"/>
              <w:rPr>
                <w:rFonts w:ascii="楷体" w:eastAsia="楷体" w:hAnsi="楷体" w:cs="楷体" w:hint="eastAsia"/>
                <w:color w:val="000000"/>
                <w:sz w:val="22"/>
                <w:lang w:bidi="ar"/>
              </w:rPr>
            </w:pPr>
          </w:p>
        </w:tc>
      </w:tr>
      <w:tr w:rsidR="003715A2" w14:paraId="1D68748D"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714BB1E2"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41</w:t>
            </w:r>
          </w:p>
        </w:tc>
        <w:tc>
          <w:tcPr>
            <w:tcW w:w="1080" w:type="dxa"/>
            <w:tcBorders>
              <w:top w:val="single" w:sz="4" w:space="0" w:color="auto"/>
              <w:left w:val="nil"/>
              <w:bottom w:val="single" w:sz="4" w:space="0" w:color="auto"/>
              <w:right w:val="single" w:sz="4" w:space="0" w:color="auto"/>
            </w:tcBorders>
            <w:shd w:val="clear" w:color="auto" w:fill="auto"/>
            <w:vAlign w:val="center"/>
          </w:tcPr>
          <w:p w14:paraId="7FF43005"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陈芮琪</w:t>
            </w:r>
          </w:p>
        </w:tc>
        <w:tc>
          <w:tcPr>
            <w:tcW w:w="2080" w:type="dxa"/>
            <w:vMerge/>
            <w:tcBorders>
              <w:top w:val="nil"/>
              <w:left w:val="nil"/>
              <w:bottom w:val="nil"/>
              <w:right w:val="single" w:sz="4" w:space="0" w:color="auto"/>
            </w:tcBorders>
            <w:shd w:val="clear" w:color="auto" w:fill="auto"/>
            <w:vAlign w:val="center"/>
          </w:tcPr>
          <w:p w14:paraId="55E33902"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090EF20C" w14:textId="77777777" w:rsidR="003715A2" w:rsidRDefault="003715A2" w:rsidP="005754EE">
            <w:pPr>
              <w:jc w:val="center"/>
              <w:rPr>
                <w:rFonts w:ascii="楷体" w:eastAsia="楷体" w:hAnsi="楷体" w:cs="楷体" w:hint="eastAsia"/>
                <w:color w:val="000000"/>
                <w:sz w:val="22"/>
                <w:lang w:bidi="ar"/>
              </w:rPr>
            </w:pPr>
          </w:p>
        </w:tc>
      </w:tr>
      <w:tr w:rsidR="003715A2" w14:paraId="7B5277BD"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4B4C15EC"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42</w:t>
            </w:r>
          </w:p>
        </w:tc>
        <w:tc>
          <w:tcPr>
            <w:tcW w:w="1080" w:type="dxa"/>
            <w:tcBorders>
              <w:top w:val="single" w:sz="4" w:space="0" w:color="auto"/>
              <w:left w:val="nil"/>
              <w:bottom w:val="single" w:sz="4" w:space="0" w:color="auto"/>
              <w:right w:val="single" w:sz="4" w:space="0" w:color="auto"/>
            </w:tcBorders>
            <w:shd w:val="clear" w:color="auto" w:fill="auto"/>
            <w:vAlign w:val="center"/>
          </w:tcPr>
          <w:p w14:paraId="40F1CA43"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黎雅文</w:t>
            </w:r>
          </w:p>
        </w:tc>
        <w:tc>
          <w:tcPr>
            <w:tcW w:w="2080" w:type="dxa"/>
            <w:vMerge/>
            <w:tcBorders>
              <w:top w:val="nil"/>
              <w:left w:val="nil"/>
              <w:bottom w:val="nil"/>
              <w:right w:val="single" w:sz="4" w:space="0" w:color="auto"/>
            </w:tcBorders>
            <w:shd w:val="clear" w:color="auto" w:fill="auto"/>
            <w:vAlign w:val="center"/>
          </w:tcPr>
          <w:p w14:paraId="16E949C7"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0EC01E2E" w14:textId="77777777" w:rsidR="003715A2" w:rsidRDefault="003715A2" w:rsidP="005754EE">
            <w:pPr>
              <w:jc w:val="center"/>
              <w:rPr>
                <w:rFonts w:ascii="楷体" w:eastAsia="楷体" w:hAnsi="楷体" w:cs="楷体" w:hint="eastAsia"/>
                <w:color w:val="000000"/>
                <w:sz w:val="22"/>
                <w:lang w:bidi="ar"/>
              </w:rPr>
            </w:pPr>
          </w:p>
        </w:tc>
      </w:tr>
      <w:tr w:rsidR="003715A2" w14:paraId="3FAB8D7D"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25C8943C"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43</w:t>
            </w:r>
          </w:p>
        </w:tc>
        <w:tc>
          <w:tcPr>
            <w:tcW w:w="1080" w:type="dxa"/>
            <w:tcBorders>
              <w:top w:val="single" w:sz="4" w:space="0" w:color="auto"/>
              <w:left w:val="nil"/>
              <w:bottom w:val="single" w:sz="4" w:space="0" w:color="auto"/>
              <w:right w:val="single" w:sz="4" w:space="0" w:color="auto"/>
            </w:tcBorders>
            <w:shd w:val="clear" w:color="auto" w:fill="auto"/>
            <w:vAlign w:val="center"/>
          </w:tcPr>
          <w:p w14:paraId="1AEB7DF8"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韩敬峰</w:t>
            </w:r>
            <w:proofErr w:type="gramEnd"/>
          </w:p>
        </w:tc>
        <w:tc>
          <w:tcPr>
            <w:tcW w:w="2080" w:type="dxa"/>
            <w:vMerge/>
            <w:tcBorders>
              <w:top w:val="nil"/>
              <w:left w:val="nil"/>
              <w:bottom w:val="nil"/>
              <w:right w:val="single" w:sz="4" w:space="0" w:color="auto"/>
            </w:tcBorders>
            <w:shd w:val="clear" w:color="auto" w:fill="auto"/>
            <w:vAlign w:val="center"/>
          </w:tcPr>
          <w:p w14:paraId="574C4119"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236A4A27" w14:textId="77777777" w:rsidR="003715A2" w:rsidRDefault="003715A2" w:rsidP="005754EE">
            <w:pPr>
              <w:jc w:val="center"/>
              <w:rPr>
                <w:rFonts w:ascii="楷体" w:eastAsia="楷体" w:hAnsi="楷体" w:cs="楷体" w:hint="eastAsia"/>
                <w:color w:val="000000"/>
                <w:sz w:val="22"/>
                <w:lang w:bidi="ar"/>
              </w:rPr>
            </w:pPr>
          </w:p>
        </w:tc>
      </w:tr>
      <w:tr w:rsidR="003715A2" w14:paraId="508395DE"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35FCDA7"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44</w:t>
            </w:r>
          </w:p>
        </w:tc>
        <w:tc>
          <w:tcPr>
            <w:tcW w:w="1080" w:type="dxa"/>
            <w:tcBorders>
              <w:top w:val="single" w:sz="4" w:space="0" w:color="auto"/>
              <w:left w:val="nil"/>
              <w:bottom w:val="single" w:sz="4" w:space="0" w:color="auto"/>
              <w:right w:val="single" w:sz="4" w:space="0" w:color="auto"/>
            </w:tcBorders>
            <w:shd w:val="clear" w:color="auto" w:fill="auto"/>
            <w:vAlign w:val="center"/>
          </w:tcPr>
          <w:p w14:paraId="7D613FF4"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荆浩志</w:t>
            </w:r>
          </w:p>
        </w:tc>
        <w:tc>
          <w:tcPr>
            <w:tcW w:w="2080" w:type="dxa"/>
            <w:vMerge/>
            <w:tcBorders>
              <w:top w:val="nil"/>
              <w:left w:val="nil"/>
              <w:bottom w:val="nil"/>
              <w:right w:val="single" w:sz="4" w:space="0" w:color="auto"/>
            </w:tcBorders>
            <w:shd w:val="clear" w:color="auto" w:fill="auto"/>
            <w:vAlign w:val="center"/>
          </w:tcPr>
          <w:p w14:paraId="16DF6E00"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148BC14E" w14:textId="77777777" w:rsidR="003715A2" w:rsidRDefault="003715A2" w:rsidP="005754EE">
            <w:pPr>
              <w:jc w:val="center"/>
              <w:rPr>
                <w:rFonts w:ascii="楷体" w:eastAsia="楷体" w:hAnsi="楷体" w:cs="楷体" w:hint="eastAsia"/>
                <w:color w:val="000000"/>
                <w:sz w:val="22"/>
                <w:lang w:bidi="ar"/>
              </w:rPr>
            </w:pPr>
          </w:p>
        </w:tc>
      </w:tr>
      <w:tr w:rsidR="003715A2" w14:paraId="4F526647"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31938E4"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45</w:t>
            </w:r>
          </w:p>
        </w:tc>
        <w:tc>
          <w:tcPr>
            <w:tcW w:w="1080" w:type="dxa"/>
            <w:tcBorders>
              <w:top w:val="single" w:sz="4" w:space="0" w:color="auto"/>
              <w:left w:val="nil"/>
              <w:bottom w:val="single" w:sz="4" w:space="0" w:color="auto"/>
              <w:right w:val="single" w:sz="4" w:space="0" w:color="auto"/>
            </w:tcBorders>
            <w:shd w:val="clear" w:color="auto" w:fill="auto"/>
            <w:vAlign w:val="center"/>
          </w:tcPr>
          <w:p w14:paraId="59A87B76"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 xml:space="preserve">张天朗 </w:t>
            </w:r>
          </w:p>
        </w:tc>
        <w:tc>
          <w:tcPr>
            <w:tcW w:w="2080" w:type="dxa"/>
            <w:vMerge/>
            <w:tcBorders>
              <w:top w:val="nil"/>
              <w:left w:val="nil"/>
              <w:bottom w:val="nil"/>
              <w:right w:val="single" w:sz="4" w:space="0" w:color="auto"/>
            </w:tcBorders>
            <w:shd w:val="clear" w:color="auto" w:fill="auto"/>
            <w:vAlign w:val="center"/>
          </w:tcPr>
          <w:p w14:paraId="2F9548A4"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0D108F34" w14:textId="77777777" w:rsidR="003715A2" w:rsidRDefault="003715A2" w:rsidP="005754EE">
            <w:pPr>
              <w:jc w:val="center"/>
              <w:rPr>
                <w:rFonts w:ascii="楷体" w:eastAsia="楷体" w:hAnsi="楷体" w:cs="楷体" w:hint="eastAsia"/>
                <w:color w:val="000000"/>
                <w:sz w:val="22"/>
                <w:lang w:bidi="ar"/>
              </w:rPr>
            </w:pPr>
          </w:p>
        </w:tc>
      </w:tr>
      <w:tr w:rsidR="003715A2" w14:paraId="68B542DF"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272A87F6"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46</w:t>
            </w:r>
          </w:p>
        </w:tc>
        <w:tc>
          <w:tcPr>
            <w:tcW w:w="1080" w:type="dxa"/>
            <w:tcBorders>
              <w:top w:val="single" w:sz="4" w:space="0" w:color="auto"/>
              <w:left w:val="nil"/>
              <w:bottom w:val="single" w:sz="4" w:space="0" w:color="auto"/>
              <w:right w:val="single" w:sz="4" w:space="0" w:color="auto"/>
            </w:tcBorders>
            <w:shd w:val="clear" w:color="auto" w:fill="auto"/>
            <w:vAlign w:val="center"/>
          </w:tcPr>
          <w:p w14:paraId="25AEBDDD"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张锐跃</w:t>
            </w:r>
            <w:proofErr w:type="gramEnd"/>
          </w:p>
        </w:tc>
        <w:tc>
          <w:tcPr>
            <w:tcW w:w="2080" w:type="dxa"/>
            <w:vMerge/>
            <w:tcBorders>
              <w:top w:val="nil"/>
              <w:left w:val="nil"/>
              <w:bottom w:val="nil"/>
              <w:right w:val="single" w:sz="4" w:space="0" w:color="auto"/>
            </w:tcBorders>
            <w:shd w:val="clear" w:color="auto" w:fill="auto"/>
            <w:vAlign w:val="center"/>
          </w:tcPr>
          <w:p w14:paraId="3BB6846D"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64032BD4" w14:textId="77777777" w:rsidR="003715A2" w:rsidRDefault="003715A2" w:rsidP="005754EE">
            <w:pPr>
              <w:jc w:val="center"/>
              <w:rPr>
                <w:rFonts w:ascii="楷体" w:eastAsia="楷体" w:hAnsi="楷体" w:cs="楷体" w:hint="eastAsia"/>
                <w:color w:val="000000"/>
                <w:sz w:val="22"/>
                <w:lang w:bidi="ar"/>
              </w:rPr>
            </w:pPr>
          </w:p>
        </w:tc>
      </w:tr>
      <w:tr w:rsidR="003715A2" w14:paraId="7F308F7B"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0CD36392"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47</w:t>
            </w:r>
          </w:p>
        </w:tc>
        <w:tc>
          <w:tcPr>
            <w:tcW w:w="1080" w:type="dxa"/>
            <w:tcBorders>
              <w:top w:val="single" w:sz="4" w:space="0" w:color="auto"/>
              <w:left w:val="nil"/>
              <w:bottom w:val="single" w:sz="4" w:space="0" w:color="auto"/>
              <w:right w:val="single" w:sz="4" w:space="0" w:color="auto"/>
            </w:tcBorders>
            <w:shd w:val="clear" w:color="auto" w:fill="auto"/>
            <w:vAlign w:val="center"/>
          </w:tcPr>
          <w:p w14:paraId="249F8380"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张子晗</w:t>
            </w:r>
          </w:p>
        </w:tc>
        <w:tc>
          <w:tcPr>
            <w:tcW w:w="2080" w:type="dxa"/>
            <w:vMerge/>
            <w:tcBorders>
              <w:top w:val="nil"/>
              <w:left w:val="nil"/>
              <w:bottom w:val="nil"/>
              <w:right w:val="single" w:sz="4" w:space="0" w:color="auto"/>
            </w:tcBorders>
            <w:shd w:val="clear" w:color="auto" w:fill="auto"/>
            <w:vAlign w:val="center"/>
          </w:tcPr>
          <w:p w14:paraId="16848677"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75274936" w14:textId="77777777" w:rsidR="003715A2" w:rsidRDefault="003715A2" w:rsidP="005754EE">
            <w:pPr>
              <w:jc w:val="center"/>
              <w:rPr>
                <w:rFonts w:ascii="楷体" w:eastAsia="楷体" w:hAnsi="楷体" w:cs="楷体" w:hint="eastAsia"/>
                <w:color w:val="000000"/>
                <w:sz w:val="22"/>
                <w:lang w:bidi="ar"/>
              </w:rPr>
            </w:pPr>
          </w:p>
        </w:tc>
      </w:tr>
      <w:tr w:rsidR="003715A2" w14:paraId="6C15FDA4"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04FD4D0F"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48</w:t>
            </w:r>
          </w:p>
        </w:tc>
        <w:tc>
          <w:tcPr>
            <w:tcW w:w="1080" w:type="dxa"/>
            <w:tcBorders>
              <w:top w:val="single" w:sz="4" w:space="0" w:color="auto"/>
              <w:left w:val="nil"/>
              <w:bottom w:val="single" w:sz="4" w:space="0" w:color="auto"/>
              <w:right w:val="single" w:sz="4" w:space="0" w:color="auto"/>
            </w:tcBorders>
            <w:shd w:val="clear" w:color="auto" w:fill="auto"/>
            <w:vAlign w:val="center"/>
          </w:tcPr>
          <w:p w14:paraId="0481F72B"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谭彦林</w:t>
            </w:r>
          </w:p>
        </w:tc>
        <w:tc>
          <w:tcPr>
            <w:tcW w:w="2080" w:type="dxa"/>
            <w:vMerge/>
            <w:tcBorders>
              <w:top w:val="nil"/>
              <w:left w:val="nil"/>
              <w:bottom w:val="nil"/>
              <w:right w:val="single" w:sz="4" w:space="0" w:color="auto"/>
            </w:tcBorders>
            <w:shd w:val="clear" w:color="auto" w:fill="auto"/>
            <w:vAlign w:val="center"/>
          </w:tcPr>
          <w:p w14:paraId="08F3E160"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0F19CE8F" w14:textId="77777777" w:rsidR="003715A2" w:rsidRDefault="003715A2" w:rsidP="005754EE">
            <w:pPr>
              <w:jc w:val="center"/>
              <w:rPr>
                <w:rFonts w:ascii="楷体" w:eastAsia="楷体" w:hAnsi="楷体" w:cs="楷体" w:hint="eastAsia"/>
                <w:color w:val="000000"/>
                <w:sz w:val="22"/>
                <w:lang w:bidi="ar"/>
              </w:rPr>
            </w:pPr>
          </w:p>
        </w:tc>
      </w:tr>
      <w:tr w:rsidR="003715A2" w14:paraId="64F0125A"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22B0778A"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49</w:t>
            </w:r>
          </w:p>
        </w:tc>
        <w:tc>
          <w:tcPr>
            <w:tcW w:w="1080" w:type="dxa"/>
            <w:tcBorders>
              <w:top w:val="single" w:sz="4" w:space="0" w:color="auto"/>
              <w:left w:val="nil"/>
              <w:bottom w:val="single" w:sz="4" w:space="0" w:color="auto"/>
              <w:right w:val="single" w:sz="4" w:space="0" w:color="auto"/>
            </w:tcBorders>
            <w:shd w:val="clear" w:color="auto" w:fill="auto"/>
            <w:vAlign w:val="center"/>
          </w:tcPr>
          <w:p w14:paraId="66E69F74"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楷体" w:eastAsia="楷体" w:hAnsi="楷体" w:cs="楷体"/>
                <w:color w:val="000000"/>
                <w:sz w:val="22"/>
                <w:lang w:bidi="ar"/>
              </w:rPr>
              <w:t>刘文豪</w:t>
            </w:r>
          </w:p>
        </w:tc>
        <w:tc>
          <w:tcPr>
            <w:tcW w:w="2080" w:type="dxa"/>
            <w:vMerge/>
            <w:tcBorders>
              <w:top w:val="nil"/>
              <w:left w:val="nil"/>
              <w:bottom w:val="nil"/>
              <w:right w:val="single" w:sz="4" w:space="0" w:color="auto"/>
            </w:tcBorders>
            <w:shd w:val="clear" w:color="auto" w:fill="auto"/>
            <w:vAlign w:val="center"/>
          </w:tcPr>
          <w:p w14:paraId="3880196E"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255C6735" w14:textId="77777777" w:rsidR="003715A2" w:rsidRDefault="003715A2" w:rsidP="005754EE">
            <w:pPr>
              <w:jc w:val="center"/>
              <w:rPr>
                <w:rFonts w:ascii="楷体" w:eastAsia="楷体" w:hAnsi="楷体" w:cs="楷体" w:hint="eastAsia"/>
                <w:color w:val="000000"/>
                <w:sz w:val="22"/>
                <w:lang w:bidi="ar"/>
              </w:rPr>
            </w:pPr>
          </w:p>
        </w:tc>
      </w:tr>
      <w:tr w:rsidR="003715A2" w14:paraId="2D3CFEDA"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8FCE614"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50</w:t>
            </w:r>
          </w:p>
        </w:tc>
        <w:tc>
          <w:tcPr>
            <w:tcW w:w="1080" w:type="dxa"/>
            <w:tcBorders>
              <w:top w:val="single" w:sz="4" w:space="0" w:color="auto"/>
              <w:left w:val="nil"/>
              <w:bottom w:val="single" w:sz="4" w:space="0" w:color="auto"/>
              <w:right w:val="single" w:sz="4" w:space="0" w:color="auto"/>
            </w:tcBorders>
            <w:shd w:val="clear" w:color="auto" w:fill="auto"/>
            <w:vAlign w:val="center"/>
          </w:tcPr>
          <w:p w14:paraId="49136FDF"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李欣学</w:t>
            </w:r>
            <w:proofErr w:type="gramEnd"/>
          </w:p>
        </w:tc>
        <w:tc>
          <w:tcPr>
            <w:tcW w:w="2080" w:type="dxa"/>
            <w:vMerge/>
            <w:tcBorders>
              <w:top w:val="nil"/>
              <w:left w:val="nil"/>
              <w:bottom w:val="nil"/>
              <w:right w:val="single" w:sz="4" w:space="0" w:color="auto"/>
            </w:tcBorders>
            <w:shd w:val="clear" w:color="auto" w:fill="auto"/>
            <w:vAlign w:val="center"/>
          </w:tcPr>
          <w:p w14:paraId="09B7995A"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6382D547" w14:textId="77777777" w:rsidR="003715A2" w:rsidRDefault="003715A2" w:rsidP="005754EE">
            <w:pPr>
              <w:jc w:val="center"/>
              <w:rPr>
                <w:rFonts w:ascii="楷体" w:eastAsia="楷体" w:hAnsi="楷体" w:cs="楷体" w:hint="eastAsia"/>
                <w:color w:val="000000"/>
                <w:sz w:val="22"/>
                <w:lang w:bidi="ar"/>
              </w:rPr>
            </w:pPr>
          </w:p>
        </w:tc>
      </w:tr>
      <w:tr w:rsidR="003715A2" w14:paraId="02156AC1"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1809C6EB"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51</w:t>
            </w:r>
          </w:p>
        </w:tc>
        <w:tc>
          <w:tcPr>
            <w:tcW w:w="1080" w:type="dxa"/>
            <w:tcBorders>
              <w:top w:val="single" w:sz="4" w:space="0" w:color="auto"/>
              <w:left w:val="nil"/>
              <w:bottom w:val="single" w:sz="4" w:space="0" w:color="auto"/>
              <w:right w:val="single" w:sz="4" w:space="0" w:color="auto"/>
            </w:tcBorders>
            <w:shd w:val="clear" w:color="auto" w:fill="auto"/>
            <w:vAlign w:val="center"/>
          </w:tcPr>
          <w:p w14:paraId="4A20D10E" w14:textId="77777777" w:rsidR="003715A2" w:rsidRDefault="003715A2" w:rsidP="005754EE">
            <w:pPr>
              <w:widowControl/>
              <w:jc w:val="left"/>
              <w:textAlignment w:val="center"/>
              <w:rPr>
                <w:rFonts w:ascii="等线" w:eastAsia="等线" w:hAnsi="等线" w:cs="等线" w:hint="eastAsia"/>
                <w:color w:val="000000"/>
                <w:sz w:val="18"/>
                <w:szCs w:val="18"/>
                <w:lang w:bidi="ar"/>
              </w:rPr>
            </w:pPr>
            <w:proofErr w:type="gramStart"/>
            <w:r>
              <w:rPr>
                <w:rFonts w:ascii="楷体" w:eastAsia="楷体" w:hAnsi="楷体" w:cs="楷体"/>
                <w:color w:val="000000"/>
                <w:sz w:val="22"/>
                <w:lang w:bidi="ar"/>
              </w:rPr>
              <w:t>段雅琪</w:t>
            </w:r>
            <w:proofErr w:type="gramEnd"/>
          </w:p>
        </w:tc>
        <w:tc>
          <w:tcPr>
            <w:tcW w:w="2080" w:type="dxa"/>
            <w:vMerge/>
            <w:tcBorders>
              <w:top w:val="nil"/>
              <w:left w:val="nil"/>
              <w:bottom w:val="nil"/>
              <w:right w:val="single" w:sz="4" w:space="0" w:color="auto"/>
            </w:tcBorders>
            <w:shd w:val="clear" w:color="auto" w:fill="auto"/>
            <w:vAlign w:val="center"/>
          </w:tcPr>
          <w:p w14:paraId="6800DBF4"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nil"/>
              <w:right w:val="single" w:sz="4" w:space="0" w:color="auto"/>
            </w:tcBorders>
            <w:shd w:val="clear" w:color="auto" w:fill="auto"/>
            <w:vAlign w:val="center"/>
          </w:tcPr>
          <w:p w14:paraId="0402FFA1" w14:textId="77777777" w:rsidR="003715A2" w:rsidRDefault="003715A2" w:rsidP="005754EE">
            <w:pPr>
              <w:jc w:val="center"/>
              <w:rPr>
                <w:rFonts w:ascii="楷体" w:eastAsia="楷体" w:hAnsi="楷体" w:cs="楷体" w:hint="eastAsia"/>
                <w:color w:val="000000"/>
                <w:sz w:val="22"/>
                <w:lang w:bidi="ar"/>
              </w:rPr>
            </w:pPr>
          </w:p>
        </w:tc>
      </w:tr>
      <w:tr w:rsidR="003715A2" w14:paraId="39066D1B" w14:textId="77777777" w:rsidTr="005754EE">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0AAD287C" w14:textId="77777777" w:rsidR="003715A2" w:rsidRDefault="003715A2" w:rsidP="005754EE">
            <w:pPr>
              <w:widowControl/>
              <w:jc w:val="left"/>
              <w:textAlignment w:val="center"/>
              <w:rPr>
                <w:rFonts w:ascii="楷体" w:eastAsia="楷体" w:hAnsi="楷体" w:cs="楷体" w:hint="eastAsia"/>
                <w:color w:val="000000"/>
                <w:sz w:val="22"/>
                <w:lang w:bidi="ar"/>
              </w:rPr>
            </w:pPr>
            <w:r>
              <w:rPr>
                <w:rFonts w:ascii="楷体" w:eastAsia="楷体" w:hAnsi="楷体" w:cs="楷体"/>
                <w:color w:val="000000"/>
                <w:sz w:val="22"/>
                <w:lang w:bidi="ar"/>
              </w:rPr>
              <w:t>52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FF6E3A2" w14:textId="77777777" w:rsidR="003715A2" w:rsidRDefault="003715A2" w:rsidP="005754EE">
            <w:pPr>
              <w:widowControl/>
              <w:jc w:val="left"/>
              <w:textAlignment w:val="center"/>
              <w:rPr>
                <w:rFonts w:ascii="等线" w:eastAsia="等线" w:hAnsi="等线" w:cs="等线" w:hint="eastAsia"/>
                <w:color w:val="000000"/>
                <w:sz w:val="18"/>
                <w:szCs w:val="18"/>
                <w:lang w:bidi="ar"/>
              </w:rPr>
            </w:pPr>
            <w:r>
              <w:rPr>
                <w:rFonts w:ascii="等线" w:eastAsia="等线" w:hAnsi="等线" w:cs="等线"/>
                <w:color w:val="000000"/>
                <w:sz w:val="18"/>
                <w:szCs w:val="18"/>
                <w:lang w:bidi="ar"/>
              </w:rPr>
              <w:t>余珮凡</w:t>
            </w:r>
          </w:p>
        </w:tc>
        <w:tc>
          <w:tcPr>
            <w:tcW w:w="2080" w:type="dxa"/>
            <w:vMerge/>
            <w:tcBorders>
              <w:top w:val="nil"/>
              <w:left w:val="nil"/>
              <w:bottom w:val="single" w:sz="4" w:space="0" w:color="auto"/>
              <w:right w:val="single" w:sz="4" w:space="0" w:color="auto"/>
            </w:tcBorders>
            <w:shd w:val="clear" w:color="auto" w:fill="auto"/>
            <w:vAlign w:val="center"/>
          </w:tcPr>
          <w:p w14:paraId="2D878C5E" w14:textId="77777777" w:rsidR="003715A2" w:rsidRDefault="003715A2" w:rsidP="005754EE">
            <w:pPr>
              <w:jc w:val="center"/>
              <w:rPr>
                <w:rFonts w:ascii="楷体" w:eastAsia="楷体" w:hAnsi="楷体" w:cs="楷体" w:hint="eastAsia"/>
                <w:color w:val="000000"/>
                <w:sz w:val="22"/>
                <w:lang w:bidi="ar"/>
              </w:rPr>
            </w:pPr>
          </w:p>
        </w:tc>
        <w:tc>
          <w:tcPr>
            <w:tcW w:w="6020" w:type="dxa"/>
            <w:vMerge/>
            <w:tcBorders>
              <w:top w:val="nil"/>
              <w:left w:val="nil"/>
              <w:bottom w:val="single" w:sz="4" w:space="0" w:color="auto"/>
              <w:right w:val="single" w:sz="4" w:space="0" w:color="auto"/>
            </w:tcBorders>
            <w:shd w:val="clear" w:color="auto" w:fill="auto"/>
            <w:vAlign w:val="center"/>
          </w:tcPr>
          <w:p w14:paraId="4420CA87" w14:textId="77777777" w:rsidR="003715A2" w:rsidRDefault="003715A2" w:rsidP="005754EE">
            <w:pPr>
              <w:jc w:val="center"/>
              <w:rPr>
                <w:rFonts w:ascii="楷体" w:eastAsia="楷体" w:hAnsi="楷体" w:cs="楷体" w:hint="eastAsia"/>
                <w:color w:val="000000"/>
                <w:sz w:val="22"/>
                <w:lang w:bidi="ar"/>
              </w:rPr>
            </w:pPr>
          </w:p>
        </w:tc>
      </w:tr>
    </w:tbl>
    <w:p w14:paraId="46946EB0" w14:textId="77777777" w:rsidR="003715A2" w:rsidRPr="002616D7" w:rsidRDefault="003715A2" w:rsidP="003715A2">
      <w:pPr>
        <w:spacing w:line="360" w:lineRule="auto"/>
        <w:ind w:firstLineChars="200" w:firstLine="600"/>
        <w:jc w:val="left"/>
        <w:rPr>
          <w:rFonts w:ascii="楷体_GB2312" w:eastAsia="楷体_GB2312"/>
          <w:color w:val="000000"/>
          <w:sz w:val="30"/>
          <w:szCs w:val="30"/>
        </w:rPr>
      </w:pPr>
    </w:p>
    <w:p w14:paraId="47673386"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3.7论文质量</w:t>
      </w:r>
    </w:p>
    <w:p w14:paraId="5D30707F"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w:t>
      </w:r>
      <w:r w:rsidRPr="00D63881">
        <w:rPr>
          <w:rFonts w:ascii="楷体_GB2312" w:eastAsia="楷体_GB2312" w:hint="eastAsia"/>
          <w:color w:val="000000"/>
          <w:sz w:val="30"/>
          <w:szCs w:val="30"/>
        </w:rPr>
        <w:t>非常重视学位论文质量，</w:t>
      </w:r>
      <w:r>
        <w:rPr>
          <w:rFonts w:ascii="楷体_GB2312" w:eastAsia="楷体_GB2312" w:hint="eastAsia"/>
          <w:color w:val="000000"/>
          <w:sz w:val="30"/>
          <w:szCs w:val="30"/>
        </w:rPr>
        <w:t>要求</w:t>
      </w:r>
      <w:r w:rsidRPr="00D63881">
        <w:rPr>
          <w:rFonts w:ascii="楷体_GB2312" w:eastAsia="楷体_GB2312" w:hint="eastAsia"/>
          <w:color w:val="000000"/>
          <w:sz w:val="30"/>
          <w:szCs w:val="30"/>
        </w:rPr>
        <w:t>学位论文研究范围应集中在会计、财务、审计以及与之交叉的相关管理、税务、咨询、内控、战略、风险管理、信息技术等相关、相近领域</w:t>
      </w:r>
      <w:r>
        <w:rPr>
          <w:rFonts w:ascii="楷体_GB2312" w:eastAsia="楷体_GB2312" w:hint="eastAsia"/>
          <w:color w:val="000000"/>
          <w:sz w:val="30"/>
          <w:szCs w:val="30"/>
        </w:rPr>
        <w:t>，要求</w:t>
      </w:r>
      <w:r w:rsidRPr="00D63881">
        <w:rPr>
          <w:rFonts w:ascii="楷体_GB2312" w:eastAsia="楷体_GB2312" w:hint="eastAsia"/>
          <w:color w:val="000000"/>
          <w:sz w:val="30"/>
          <w:szCs w:val="30"/>
        </w:rPr>
        <w:t>学位论文应突出“应用性”</w:t>
      </w:r>
      <w:r>
        <w:rPr>
          <w:rFonts w:ascii="楷体_GB2312" w:eastAsia="楷体_GB2312" w:hint="eastAsia"/>
          <w:color w:val="000000"/>
          <w:sz w:val="30"/>
          <w:szCs w:val="30"/>
        </w:rPr>
        <w:t>、</w:t>
      </w:r>
      <w:r w:rsidRPr="000D6570">
        <w:rPr>
          <w:rFonts w:ascii="楷体_GB2312" w:eastAsia="楷体_GB2312" w:hint="eastAsia"/>
          <w:color w:val="000000"/>
          <w:sz w:val="30"/>
          <w:szCs w:val="30"/>
        </w:rPr>
        <w:t>应体现“问题导向”</w:t>
      </w:r>
      <w:r>
        <w:rPr>
          <w:rFonts w:ascii="楷体_GB2312" w:eastAsia="楷体_GB2312" w:hint="eastAsia"/>
          <w:color w:val="000000"/>
          <w:sz w:val="30"/>
          <w:szCs w:val="30"/>
        </w:rPr>
        <w:t>、</w:t>
      </w:r>
      <w:r w:rsidRPr="000D6570">
        <w:rPr>
          <w:rFonts w:ascii="楷体_GB2312" w:eastAsia="楷体_GB2312" w:hint="eastAsia"/>
          <w:color w:val="000000"/>
          <w:sz w:val="30"/>
          <w:szCs w:val="30"/>
        </w:rPr>
        <w:t>应体现会计学科</w:t>
      </w:r>
      <w:r>
        <w:rPr>
          <w:rFonts w:ascii="楷体_GB2312" w:eastAsia="楷体_GB2312" w:hint="eastAsia"/>
          <w:color w:val="000000"/>
          <w:sz w:val="30"/>
          <w:szCs w:val="30"/>
        </w:rPr>
        <w:t>和</w:t>
      </w:r>
      <w:r w:rsidRPr="000D6570">
        <w:rPr>
          <w:rFonts w:ascii="楷体_GB2312" w:eastAsia="楷体_GB2312" w:hint="eastAsia"/>
          <w:color w:val="000000"/>
          <w:sz w:val="30"/>
          <w:szCs w:val="30"/>
        </w:rPr>
        <w:t>会计专业的最新研究成果</w:t>
      </w:r>
      <w:r>
        <w:rPr>
          <w:rFonts w:ascii="楷体_GB2312" w:eastAsia="楷体_GB2312" w:hint="eastAsia"/>
          <w:color w:val="000000"/>
          <w:sz w:val="30"/>
          <w:szCs w:val="30"/>
        </w:rPr>
        <w:t>，要求</w:t>
      </w:r>
      <w:r w:rsidRPr="000D6570">
        <w:rPr>
          <w:rFonts w:ascii="楷体_GB2312" w:eastAsia="楷体_GB2312" w:hint="eastAsia"/>
          <w:color w:val="000000"/>
          <w:sz w:val="30"/>
          <w:szCs w:val="30"/>
        </w:rPr>
        <w:t>学位论文应与“以培养学生的实践创新能力为基本目标”的定位相符</w:t>
      </w:r>
      <w:r>
        <w:rPr>
          <w:rFonts w:ascii="楷体_GB2312" w:eastAsia="楷体_GB2312" w:hint="eastAsia"/>
          <w:color w:val="000000"/>
          <w:sz w:val="30"/>
          <w:szCs w:val="30"/>
        </w:rPr>
        <w:t>，</w:t>
      </w:r>
      <w:r w:rsidRPr="000D6570">
        <w:rPr>
          <w:rFonts w:ascii="楷体_GB2312" w:eastAsia="楷体_GB2312" w:hint="eastAsia"/>
          <w:color w:val="000000"/>
          <w:sz w:val="30"/>
          <w:szCs w:val="30"/>
        </w:rPr>
        <w:t>学位论文应符合基本的学术规范和会计行业（专业）特定的规则规范、道德规范。</w:t>
      </w:r>
    </w:p>
    <w:p w14:paraId="2658A9A8" w14:textId="77777777" w:rsidR="003715A2" w:rsidRPr="005D4BD1" w:rsidRDefault="003715A2" w:rsidP="003715A2">
      <w:pPr>
        <w:spacing w:line="540" w:lineRule="exact"/>
        <w:ind w:firstLineChars="200" w:firstLine="600"/>
        <w:rPr>
          <w:rFonts w:ascii="楷体_GB2312" w:eastAsia="楷体_GB2312"/>
          <w:color w:val="000000"/>
          <w:sz w:val="30"/>
          <w:szCs w:val="30"/>
        </w:rPr>
      </w:pPr>
      <w:r w:rsidRPr="00D63881">
        <w:rPr>
          <w:rFonts w:ascii="楷体_GB2312" w:eastAsia="楷体_GB2312" w:hint="eastAsia"/>
          <w:color w:val="000000"/>
          <w:sz w:val="30"/>
          <w:szCs w:val="30"/>
        </w:rPr>
        <w:t>校内导师和实践导师全过程参与指导学位论文写作。学位论文开题不通过，须</w:t>
      </w:r>
      <w:r>
        <w:rPr>
          <w:rFonts w:ascii="楷体_GB2312" w:eastAsia="楷体_GB2312" w:hint="eastAsia"/>
          <w:color w:val="000000"/>
          <w:sz w:val="30"/>
          <w:szCs w:val="30"/>
        </w:rPr>
        <w:t>重新</w:t>
      </w:r>
      <w:r w:rsidRPr="00D63881">
        <w:rPr>
          <w:rFonts w:ascii="楷体_GB2312" w:eastAsia="楷体_GB2312" w:hint="eastAsia"/>
          <w:color w:val="000000"/>
          <w:sz w:val="30"/>
          <w:szCs w:val="30"/>
        </w:rPr>
        <w:t>开题；要求学位论文全部都需要查重，坚决杜绝抄袭等学术不端行为；2013年开始实行学位论文100%盲审；2017年开始实施学位论文监控制度，进一步加强学位论文质量控制每组参加答辩的学位论文中，有20%的学位论文将进入末位监控，提交学科组专家再评审。</w:t>
      </w:r>
      <w:r>
        <w:rPr>
          <w:rFonts w:ascii="楷体_GB2312" w:eastAsia="楷体_GB2312" w:hint="eastAsia"/>
          <w:color w:val="000000"/>
          <w:sz w:val="30"/>
          <w:szCs w:val="30"/>
        </w:rPr>
        <w:t>本学位点论文在各类论文抽查中，均为合格</w:t>
      </w:r>
      <w:r w:rsidRPr="00D63881">
        <w:rPr>
          <w:rFonts w:ascii="楷体_GB2312" w:eastAsia="楷体_GB2312" w:hint="eastAsia"/>
          <w:color w:val="000000"/>
          <w:sz w:val="30"/>
          <w:szCs w:val="30"/>
        </w:rPr>
        <w:t>。</w:t>
      </w:r>
    </w:p>
    <w:p w14:paraId="32714CA0"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3.8质量保证</w:t>
      </w:r>
    </w:p>
    <w:p w14:paraId="3F95719D"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（1）</w:t>
      </w:r>
      <w:r w:rsidRPr="00983B45">
        <w:rPr>
          <w:rFonts w:ascii="楷体_GB2312" w:eastAsia="楷体_GB2312" w:hint="eastAsia"/>
          <w:color w:val="000000"/>
          <w:sz w:val="30"/>
          <w:szCs w:val="30"/>
        </w:rPr>
        <w:t>明确目标与标准，建立学位授权点准入与退出机制</w:t>
      </w:r>
      <w:r>
        <w:rPr>
          <w:rFonts w:ascii="楷体_GB2312" w:eastAsia="楷体_GB2312" w:hint="eastAsia"/>
          <w:color w:val="000000"/>
          <w:sz w:val="30"/>
          <w:szCs w:val="30"/>
        </w:rPr>
        <w:t>。</w:t>
      </w:r>
      <w:r w:rsidRPr="00983B45">
        <w:rPr>
          <w:rFonts w:ascii="楷体_GB2312" w:eastAsia="楷体_GB2312" w:hint="eastAsia"/>
          <w:color w:val="000000"/>
          <w:sz w:val="30"/>
          <w:szCs w:val="30"/>
        </w:rPr>
        <w:t>培养方案管理规定培养方案须明确学位标准</w:t>
      </w:r>
      <w:r>
        <w:rPr>
          <w:rFonts w:ascii="楷体_GB2312" w:eastAsia="楷体_GB2312" w:hint="eastAsia"/>
          <w:color w:val="000000"/>
          <w:sz w:val="30"/>
          <w:szCs w:val="30"/>
        </w:rPr>
        <w:t>，</w:t>
      </w:r>
      <w:r w:rsidRPr="00983B45">
        <w:rPr>
          <w:rFonts w:ascii="楷体_GB2312" w:eastAsia="楷体_GB2312" w:hint="eastAsia"/>
          <w:color w:val="000000"/>
          <w:sz w:val="30"/>
          <w:szCs w:val="30"/>
        </w:rPr>
        <w:t>制定《暨南大学新增硕士专业学位审核与管理办法》、《暨南大学学位授权点合格评估管理办法》，开展学位点动态调整工作，建立和完善授权点准入与退出机制。</w:t>
      </w:r>
      <w:r>
        <w:rPr>
          <w:rFonts w:ascii="楷体_GB2312" w:eastAsia="楷体_GB2312" w:hint="eastAsia"/>
          <w:color w:val="000000"/>
          <w:sz w:val="30"/>
          <w:szCs w:val="30"/>
        </w:rPr>
        <w:t>（2）</w:t>
      </w:r>
      <w:r w:rsidRPr="00983B45">
        <w:rPr>
          <w:rFonts w:ascii="楷体_GB2312" w:eastAsia="楷体_GB2312" w:hint="eastAsia"/>
          <w:color w:val="000000"/>
          <w:sz w:val="30"/>
          <w:szCs w:val="30"/>
        </w:rPr>
        <w:t>严格招生管理，建立以质量为导向的招生指标分配机制</w:t>
      </w:r>
      <w:r>
        <w:rPr>
          <w:rFonts w:ascii="楷体_GB2312" w:eastAsia="楷体_GB2312" w:hint="eastAsia"/>
          <w:color w:val="000000"/>
          <w:sz w:val="30"/>
          <w:szCs w:val="30"/>
        </w:rPr>
        <w:t>。</w:t>
      </w:r>
      <w:r w:rsidRPr="00983B45">
        <w:rPr>
          <w:rFonts w:ascii="楷体_GB2312" w:eastAsia="楷体_GB2312" w:hint="eastAsia"/>
          <w:color w:val="000000"/>
          <w:sz w:val="30"/>
          <w:szCs w:val="30"/>
        </w:rPr>
        <w:t>建立以人才培养质量为导向的招生指标分配制度</w:t>
      </w:r>
      <w:r>
        <w:rPr>
          <w:rFonts w:ascii="楷体_GB2312" w:eastAsia="楷体_GB2312" w:hint="eastAsia"/>
          <w:color w:val="000000"/>
          <w:sz w:val="30"/>
          <w:szCs w:val="30"/>
        </w:rPr>
        <w:t>，</w:t>
      </w:r>
      <w:r w:rsidRPr="00983B45">
        <w:rPr>
          <w:rFonts w:ascii="楷体_GB2312" w:eastAsia="楷体_GB2312" w:hint="eastAsia"/>
          <w:color w:val="000000"/>
          <w:sz w:val="30"/>
          <w:szCs w:val="30"/>
        </w:rPr>
        <w:t>设校院两级招生工作领导小组，严格依照制度管理招考事项。</w:t>
      </w:r>
      <w:r>
        <w:rPr>
          <w:rFonts w:ascii="楷体_GB2312" w:eastAsia="楷体_GB2312" w:hint="eastAsia"/>
          <w:color w:val="000000"/>
          <w:sz w:val="30"/>
          <w:szCs w:val="30"/>
        </w:rPr>
        <w:t>（3）</w:t>
      </w:r>
      <w:r w:rsidRPr="00983B45">
        <w:rPr>
          <w:rFonts w:ascii="楷体_GB2312" w:eastAsia="楷体_GB2312" w:hint="eastAsia"/>
          <w:color w:val="000000"/>
          <w:sz w:val="30"/>
          <w:szCs w:val="30"/>
        </w:rPr>
        <w:t>加强培养过程与学位授予管理</w:t>
      </w:r>
      <w:r>
        <w:rPr>
          <w:rFonts w:ascii="楷体_GB2312" w:eastAsia="楷体_GB2312" w:hint="eastAsia"/>
          <w:color w:val="000000"/>
          <w:sz w:val="30"/>
          <w:szCs w:val="30"/>
        </w:rPr>
        <w:t>。</w:t>
      </w:r>
      <w:proofErr w:type="gramStart"/>
      <w:r w:rsidRPr="00983B45">
        <w:rPr>
          <w:rFonts w:ascii="楷体_GB2312" w:eastAsia="楷体_GB2312" w:hint="eastAsia"/>
          <w:color w:val="000000"/>
          <w:sz w:val="30"/>
          <w:szCs w:val="30"/>
        </w:rPr>
        <w:t>定期由</w:t>
      </w:r>
      <w:proofErr w:type="gramEnd"/>
      <w:r w:rsidRPr="00983B45">
        <w:rPr>
          <w:rFonts w:ascii="楷体_GB2312" w:eastAsia="楷体_GB2312" w:hint="eastAsia"/>
          <w:color w:val="000000"/>
          <w:sz w:val="30"/>
          <w:szCs w:val="30"/>
        </w:rPr>
        <w:t>校内专家、行业专家评估</w:t>
      </w:r>
      <w:r w:rsidRPr="00983B45">
        <w:rPr>
          <w:rFonts w:ascii="楷体_GB2312" w:eastAsia="楷体_GB2312" w:hint="eastAsia"/>
          <w:color w:val="000000"/>
          <w:sz w:val="30"/>
          <w:szCs w:val="30"/>
        </w:rPr>
        <w:lastRenderedPageBreak/>
        <w:t>培养方案；实行严格的中期考核制度；制定实践基地和实践教学管理制度，加强实践环节监控</w:t>
      </w:r>
      <w:r>
        <w:rPr>
          <w:rFonts w:ascii="楷体_GB2312" w:eastAsia="楷体_GB2312" w:hint="eastAsia"/>
          <w:color w:val="000000"/>
          <w:sz w:val="30"/>
          <w:szCs w:val="30"/>
        </w:rPr>
        <w:t>；</w:t>
      </w:r>
      <w:r w:rsidRPr="00983B45">
        <w:rPr>
          <w:rFonts w:ascii="楷体_GB2312" w:eastAsia="楷体_GB2312" w:hint="eastAsia"/>
          <w:color w:val="000000"/>
          <w:sz w:val="30"/>
          <w:szCs w:val="30"/>
        </w:rPr>
        <w:t>所有学位论文答辩前均须检测、双盲外审，学位授予经学科组、学位</w:t>
      </w:r>
      <w:proofErr w:type="gramStart"/>
      <w:r w:rsidRPr="00983B45">
        <w:rPr>
          <w:rFonts w:ascii="楷体_GB2312" w:eastAsia="楷体_GB2312" w:hint="eastAsia"/>
          <w:color w:val="000000"/>
          <w:sz w:val="30"/>
          <w:szCs w:val="30"/>
        </w:rPr>
        <w:t>评定分</w:t>
      </w:r>
      <w:proofErr w:type="gramEnd"/>
      <w:r w:rsidRPr="00983B45">
        <w:rPr>
          <w:rFonts w:ascii="楷体_GB2312" w:eastAsia="楷体_GB2312" w:hint="eastAsia"/>
          <w:color w:val="000000"/>
          <w:sz w:val="30"/>
          <w:szCs w:val="30"/>
        </w:rPr>
        <w:t>委员会、学位评定委员会按章程和议事规则三级审议。</w:t>
      </w:r>
      <w:r>
        <w:rPr>
          <w:rFonts w:ascii="楷体_GB2312" w:eastAsia="楷体_GB2312" w:hint="eastAsia"/>
          <w:color w:val="000000"/>
          <w:sz w:val="30"/>
          <w:szCs w:val="30"/>
        </w:rPr>
        <w:t>（4）</w:t>
      </w:r>
      <w:r w:rsidRPr="00983B45">
        <w:rPr>
          <w:rFonts w:ascii="楷体_GB2312" w:eastAsia="楷体_GB2312" w:hint="eastAsia"/>
          <w:color w:val="000000"/>
          <w:sz w:val="30"/>
          <w:szCs w:val="30"/>
        </w:rPr>
        <w:t>优化以岗位为主的导师管理制度</w:t>
      </w:r>
      <w:r>
        <w:rPr>
          <w:rFonts w:ascii="楷体_GB2312" w:eastAsia="楷体_GB2312" w:hint="eastAsia"/>
          <w:color w:val="000000"/>
          <w:sz w:val="30"/>
          <w:szCs w:val="30"/>
        </w:rPr>
        <w:t>。</w:t>
      </w:r>
      <w:r w:rsidRPr="00983B45">
        <w:rPr>
          <w:rFonts w:ascii="楷体_GB2312" w:eastAsia="楷体_GB2312" w:hint="eastAsia"/>
          <w:color w:val="000000"/>
          <w:sz w:val="30"/>
          <w:szCs w:val="30"/>
        </w:rPr>
        <w:t>以岗位责任为核心，制定导师选聘、考核及管理的规章制度，建立招生指标年度审核机制。</w:t>
      </w:r>
      <w:r>
        <w:rPr>
          <w:rFonts w:ascii="楷体_GB2312" w:eastAsia="楷体_GB2312" w:hint="eastAsia"/>
          <w:color w:val="000000"/>
          <w:sz w:val="30"/>
          <w:szCs w:val="30"/>
        </w:rPr>
        <w:t>（5）</w:t>
      </w:r>
      <w:r w:rsidRPr="00983B45">
        <w:rPr>
          <w:rFonts w:ascii="楷体_GB2312" w:eastAsia="楷体_GB2312" w:hint="eastAsia"/>
          <w:color w:val="000000"/>
          <w:sz w:val="30"/>
          <w:szCs w:val="30"/>
        </w:rPr>
        <w:t>完善研究生管理与服务</w:t>
      </w:r>
      <w:r>
        <w:rPr>
          <w:rFonts w:ascii="楷体_GB2312" w:eastAsia="楷体_GB2312" w:hint="eastAsia"/>
          <w:color w:val="000000"/>
          <w:sz w:val="30"/>
          <w:szCs w:val="30"/>
        </w:rPr>
        <w:t>。</w:t>
      </w:r>
      <w:r w:rsidRPr="00983B45">
        <w:rPr>
          <w:rFonts w:ascii="楷体_GB2312" w:eastAsia="楷体_GB2312" w:hint="eastAsia"/>
          <w:color w:val="000000"/>
          <w:sz w:val="30"/>
          <w:szCs w:val="30"/>
        </w:rPr>
        <w:t>全日制</w:t>
      </w:r>
      <w:proofErr w:type="gramStart"/>
      <w:r w:rsidRPr="00983B45">
        <w:rPr>
          <w:rFonts w:ascii="楷体_GB2312" w:eastAsia="楷体_GB2312" w:hint="eastAsia"/>
          <w:color w:val="000000"/>
          <w:sz w:val="30"/>
          <w:szCs w:val="30"/>
        </w:rPr>
        <w:t>专硕与</w:t>
      </w:r>
      <w:proofErr w:type="gramEnd"/>
      <w:r w:rsidRPr="00983B45">
        <w:rPr>
          <w:rFonts w:ascii="楷体_GB2312" w:eastAsia="楷体_GB2312" w:hint="eastAsia"/>
          <w:color w:val="000000"/>
          <w:sz w:val="30"/>
          <w:szCs w:val="30"/>
        </w:rPr>
        <w:t>学术硕士享受同等奖助学金</w:t>
      </w:r>
      <w:r>
        <w:rPr>
          <w:rFonts w:ascii="楷体_GB2312" w:eastAsia="楷体_GB2312" w:hint="eastAsia"/>
          <w:color w:val="000000"/>
          <w:sz w:val="30"/>
          <w:szCs w:val="30"/>
        </w:rPr>
        <w:t>，</w:t>
      </w:r>
      <w:r w:rsidRPr="00983B45">
        <w:rPr>
          <w:rFonts w:ascii="楷体_GB2312" w:eastAsia="楷体_GB2312" w:hint="eastAsia"/>
          <w:color w:val="000000"/>
          <w:sz w:val="30"/>
          <w:szCs w:val="30"/>
        </w:rPr>
        <w:t>注重科学精神与学术道德教育、学风建设、研究生正当权益保护、创业教育、就业指导与服务等制度建设。</w:t>
      </w:r>
      <w:r>
        <w:rPr>
          <w:rFonts w:ascii="楷体_GB2312" w:eastAsia="楷体_GB2312" w:hint="eastAsia"/>
          <w:color w:val="000000"/>
          <w:sz w:val="30"/>
          <w:szCs w:val="30"/>
        </w:rPr>
        <w:t>（6）</w:t>
      </w:r>
      <w:r w:rsidRPr="00983B45">
        <w:rPr>
          <w:rFonts w:ascii="楷体_GB2312" w:eastAsia="楷体_GB2312" w:hint="eastAsia"/>
          <w:color w:val="000000"/>
          <w:sz w:val="30"/>
          <w:szCs w:val="30"/>
        </w:rPr>
        <w:t>加强条件保障与监督，营造质量文化</w:t>
      </w:r>
      <w:r>
        <w:rPr>
          <w:rFonts w:ascii="楷体_GB2312" w:eastAsia="楷体_GB2312" w:hint="eastAsia"/>
          <w:color w:val="000000"/>
          <w:sz w:val="30"/>
          <w:szCs w:val="30"/>
        </w:rPr>
        <w:t>。</w:t>
      </w:r>
      <w:r w:rsidRPr="00983B45">
        <w:rPr>
          <w:rFonts w:ascii="楷体_GB2312" w:eastAsia="楷体_GB2312" w:hint="eastAsia"/>
          <w:color w:val="000000"/>
          <w:sz w:val="30"/>
          <w:szCs w:val="30"/>
        </w:rPr>
        <w:t>建立合理的校院两级资源分配比例</w:t>
      </w:r>
      <w:r>
        <w:rPr>
          <w:rFonts w:ascii="楷体_GB2312" w:eastAsia="楷体_GB2312" w:hint="eastAsia"/>
          <w:color w:val="000000"/>
          <w:sz w:val="30"/>
          <w:szCs w:val="30"/>
        </w:rPr>
        <w:t>；</w:t>
      </w:r>
      <w:r w:rsidRPr="00983B45">
        <w:rPr>
          <w:rFonts w:ascii="楷体_GB2312" w:eastAsia="楷体_GB2312" w:hint="eastAsia"/>
          <w:color w:val="000000"/>
          <w:sz w:val="30"/>
          <w:szCs w:val="30"/>
        </w:rPr>
        <w:t>设立校、院两级专业学位教育指导委员会，由校内专家与行业专家组成，负责重大事项的咨询和决策</w:t>
      </w:r>
      <w:r>
        <w:rPr>
          <w:rFonts w:ascii="楷体_GB2312" w:eastAsia="楷体_GB2312" w:hint="eastAsia"/>
          <w:color w:val="000000"/>
          <w:sz w:val="30"/>
          <w:szCs w:val="30"/>
        </w:rPr>
        <w:t>；</w:t>
      </w:r>
      <w:r w:rsidRPr="00983B45">
        <w:rPr>
          <w:rFonts w:ascii="楷体_GB2312" w:eastAsia="楷体_GB2312" w:hint="eastAsia"/>
          <w:color w:val="000000"/>
          <w:sz w:val="30"/>
          <w:szCs w:val="30"/>
        </w:rPr>
        <w:t>设立校院两级研究生教育督导委员会，常态化监督教育质量</w:t>
      </w:r>
      <w:r>
        <w:rPr>
          <w:rFonts w:ascii="楷体_GB2312" w:eastAsia="楷体_GB2312" w:hint="eastAsia"/>
          <w:color w:val="000000"/>
          <w:sz w:val="30"/>
          <w:szCs w:val="30"/>
        </w:rPr>
        <w:t>；</w:t>
      </w:r>
      <w:r w:rsidRPr="00983B45">
        <w:rPr>
          <w:rFonts w:ascii="楷体_GB2312" w:eastAsia="楷体_GB2312" w:hint="eastAsia"/>
          <w:color w:val="000000"/>
          <w:sz w:val="30"/>
          <w:szCs w:val="30"/>
        </w:rPr>
        <w:t>营造体现高水平大学建设目标与“侨校”特色的质量文化。</w:t>
      </w:r>
      <w:r>
        <w:rPr>
          <w:rFonts w:ascii="楷体_GB2312" w:eastAsia="楷体_GB2312" w:hint="eastAsia"/>
          <w:color w:val="000000"/>
          <w:sz w:val="30"/>
          <w:szCs w:val="30"/>
        </w:rPr>
        <w:t>（7）分流淘汰。</w:t>
      </w:r>
      <w:r w:rsidRPr="00EB0CD1">
        <w:rPr>
          <w:rFonts w:ascii="楷体_GB2312" w:eastAsia="楷体_GB2312" w:hint="eastAsia"/>
          <w:color w:val="000000"/>
          <w:sz w:val="30"/>
          <w:szCs w:val="30"/>
        </w:rPr>
        <w:t>根据《暨南大学研究生学籍管理规定》，硕士生在校年限（含休学、保留学籍）超过5年，应</w:t>
      </w:r>
      <w:proofErr w:type="gramStart"/>
      <w:r w:rsidRPr="00EB0CD1">
        <w:rPr>
          <w:rFonts w:ascii="楷体_GB2312" w:eastAsia="楷体_GB2312" w:hint="eastAsia"/>
          <w:color w:val="000000"/>
          <w:sz w:val="30"/>
          <w:szCs w:val="30"/>
        </w:rPr>
        <w:t>予退</w:t>
      </w:r>
      <w:proofErr w:type="gramEnd"/>
      <w:r w:rsidRPr="00EB0CD1">
        <w:rPr>
          <w:rFonts w:ascii="楷体_GB2312" w:eastAsia="楷体_GB2312" w:hint="eastAsia"/>
          <w:color w:val="000000"/>
          <w:sz w:val="30"/>
          <w:szCs w:val="30"/>
        </w:rPr>
        <w:t>学。</w:t>
      </w:r>
    </w:p>
    <w:p w14:paraId="6334658E"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3.9学风建设</w:t>
      </w:r>
    </w:p>
    <w:p w14:paraId="6C28EA66"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本学位点</w:t>
      </w:r>
      <w:r w:rsidRPr="00CD562A">
        <w:rPr>
          <w:rFonts w:ascii="楷体_GB2312" w:eastAsia="楷体_GB2312" w:hint="eastAsia"/>
          <w:color w:val="000000"/>
          <w:sz w:val="30"/>
          <w:szCs w:val="30"/>
        </w:rPr>
        <w:t>课程设置中专门开设了专业学位课《商业伦理与会计职业道德》（必修），同时在其他课程授课期间，任课教师也不断强调科学道德和学术规范。中心要求</w:t>
      </w:r>
      <w:proofErr w:type="spellStart"/>
      <w:r w:rsidRPr="00CD562A">
        <w:rPr>
          <w:rFonts w:ascii="楷体_GB2312" w:eastAsia="楷体_GB2312" w:hint="eastAsia"/>
          <w:color w:val="000000"/>
          <w:sz w:val="30"/>
          <w:szCs w:val="30"/>
        </w:rPr>
        <w:t>MPAcc</w:t>
      </w:r>
      <w:proofErr w:type="spellEnd"/>
      <w:r w:rsidRPr="00CD562A">
        <w:rPr>
          <w:rFonts w:ascii="楷体_GB2312" w:eastAsia="楷体_GB2312" w:hint="eastAsia"/>
          <w:color w:val="000000"/>
          <w:sz w:val="30"/>
          <w:szCs w:val="30"/>
        </w:rPr>
        <w:t>研究生认真学习《暨南大学关于研究生学位论文学术不端行为预防及处理暂行办法》，在课程论文、学位论文写作等环节，教师严格要求学生遵守学术规范。学生进入企业集中实习前，专门组织入职前职业道德讲座。所有学位论文答辩前必须要进行论文文字重合率检测工作，文字重合率符合规定的，才能答辩，否则，不能答辩，并就学位论文的学术规范性约谈学位论文导师，敦促导师严格要求</w:t>
      </w:r>
      <w:r w:rsidRPr="00CD562A">
        <w:rPr>
          <w:rFonts w:ascii="楷体_GB2312" w:eastAsia="楷体_GB2312" w:hint="eastAsia"/>
          <w:color w:val="000000"/>
          <w:sz w:val="30"/>
          <w:szCs w:val="30"/>
        </w:rPr>
        <w:lastRenderedPageBreak/>
        <w:t>学位论文作者恪守科学道德和学术规范。</w:t>
      </w:r>
    </w:p>
    <w:p w14:paraId="78B547E2"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3.10管理服务</w:t>
      </w:r>
    </w:p>
    <w:p w14:paraId="5D939A9E" w14:textId="77777777" w:rsidR="003715A2" w:rsidRDefault="003715A2" w:rsidP="003715A2">
      <w:pPr>
        <w:spacing w:line="540" w:lineRule="exact"/>
        <w:ind w:firstLineChars="200" w:firstLine="600"/>
        <w:rPr>
          <w:rFonts w:ascii="楷体_GB2312" w:eastAsia="楷体_GB2312"/>
          <w:color w:val="000000"/>
          <w:sz w:val="30"/>
          <w:szCs w:val="30"/>
        </w:rPr>
      </w:pPr>
      <w:r w:rsidRPr="00C9106E">
        <w:rPr>
          <w:rFonts w:ascii="楷体_GB2312" w:eastAsia="楷体_GB2312" w:hint="eastAsia"/>
          <w:color w:val="000000"/>
          <w:sz w:val="30"/>
          <w:szCs w:val="30"/>
        </w:rPr>
        <w:t>2004年，暨南大学成立了会计硕士教育中心（以下简称“中心”），中心隶属于暨南大学管理学院会计学系，独立</w:t>
      </w:r>
      <w:r>
        <w:rPr>
          <w:rFonts w:ascii="楷体_GB2312" w:eastAsia="楷体_GB2312" w:hint="eastAsia"/>
          <w:color w:val="000000"/>
          <w:sz w:val="30"/>
          <w:szCs w:val="30"/>
        </w:rPr>
        <w:t>开展会计硕士</w:t>
      </w:r>
      <w:r w:rsidRPr="00C9106E">
        <w:rPr>
          <w:rFonts w:ascii="楷体_GB2312" w:eastAsia="楷体_GB2312" w:hint="eastAsia"/>
          <w:color w:val="000000"/>
          <w:sz w:val="30"/>
          <w:szCs w:val="30"/>
        </w:rPr>
        <w:t>项目招生、运营及学生管理工作。中心设有专门的办公场地，占地面积约27</w:t>
      </w:r>
      <w:r>
        <w:rPr>
          <w:rFonts w:ascii="楷体_GB2312" w:eastAsia="楷体_GB2312" w:hint="eastAsia"/>
          <w:color w:val="000000"/>
          <w:sz w:val="30"/>
          <w:szCs w:val="30"/>
        </w:rPr>
        <w:t>平方米</w:t>
      </w:r>
      <w:r w:rsidRPr="00C9106E">
        <w:rPr>
          <w:rFonts w:ascii="楷体_GB2312" w:eastAsia="楷体_GB2312" w:hint="eastAsia"/>
          <w:color w:val="000000"/>
          <w:sz w:val="30"/>
          <w:szCs w:val="30"/>
        </w:rPr>
        <w:t>。中心人员齐备，人员结构合理，会计学系正副主任兼任中心主任和执行主任，并有3名专职行政人员。具体人员配备情况如下：谭有超教授，暨南大学管理学院会计学系主任，</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教育中心主任；窦欢教授，暨南大学管理学院会计学系副主任，</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教育中心执行主任；司方博</w:t>
      </w:r>
      <w:r>
        <w:rPr>
          <w:rFonts w:ascii="楷体_GB2312" w:eastAsia="楷体_GB2312" w:hint="eastAsia"/>
          <w:color w:val="000000"/>
          <w:sz w:val="30"/>
          <w:szCs w:val="30"/>
        </w:rPr>
        <w:t>老师</w:t>
      </w:r>
      <w:r w:rsidRPr="00C9106E">
        <w:rPr>
          <w:rFonts w:ascii="楷体_GB2312" w:eastAsia="楷体_GB2312" w:hint="eastAsia"/>
          <w:color w:val="000000"/>
          <w:sz w:val="30"/>
          <w:szCs w:val="30"/>
        </w:rPr>
        <w:t>，</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教育中心副主任；王东，</w:t>
      </w:r>
      <w:proofErr w:type="spellStart"/>
      <w:r w:rsidRPr="00C9106E">
        <w:rPr>
          <w:rFonts w:ascii="楷体_GB2312" w:eastAsia="楷体_GB2312" w:hint="eastAsia"/>
          <w:color w:val="000000"/>
          <w:sz w:val="30"/>
          <w:szCs w:val="30"/>
        </w:rPr>
        <w:t>MPAcc</w:t>
      </w:r>
      <w:proofErr w:type="spellEnd"/>
      <w:r w:rsidRPr="00C9106E">
        <w:rPr>
          <w:rFonts w:ascii="楷体_GB2312" w:eastAsia="楷体_GB2312" w:hint="eastAsia"/>
          <w:color w:val="000000"/>
          <w:sz w:val="30"/>
          <w:szCs w:val="30"/>
        </w:rPr>
        <w:t>教育中心办公室主任；陈莉，教务秘书；郭奥德格日乐，学工秘书。</w:t>
      </w:r>
      <w:r w:rsidRPr="00DE238C">
        <w:rPr>
          <w:rFonts w:ascii="楷体_GB2312" w:eastAsia="楷体_GB2312" w:hint="eastAsia"/>
          <w:color w:val="000000"/>
          <w:sz w:val="30"/>
          <w:szCs w:val="30"/>
        </w:rPr>
        <w:t>每个</w:t>
      </w:r>
      <w:r>
        <w:rPr>
          <w:rFonts w:ascii="楷体_GB2312" w:eastAsia="楷体_GB2312" w:hint="eastAsia"/>
          <w:color w:val="000000"/>
          <w:sz w:val="30"/>
          <w:szCs w:val="30"/>
        </w:rPr>
        <w:t>会计硕士</w:t>
      </w:r>
      <w:r w:rsidRPr="00DE238C">
        <w:rPr>
          <w:rFonts w:ascii="楷体_GB2312" w:eastAsia="楷体_GB2312" w:hint="eastAsia"/>
          <w:color w:val="000000"/>
          <w:sz w:val="30"/>
          <w:szCs w:val="30"/>
        </w:rPr>
        <w:t>班级都有老师担任班主任，负责班级的日常管理，积极组织学生参加有利于提高综合能力的活动</w:t>
      </w:r>
      <w:r>
        <w:rPr>
          <w:rFonts w:ascii="楷体_GB2312" w:eastAsia="楷体_GB2312" w:hint="eastAsia"/>
          <w:color w:val="000000"/>
          <w:sz w:val="30"/>
          <w:szCs w:val="30"/>
        </w:rPr>
        <w:t>；</w:t>
      </w:r>
      <w:r w:rsidRPr="00DE238C">
        <w:rPr>
          <w:rFonts w:ascii="楷体_GB2312" w:eastAsia="楷体_GB2312" w:hint="eastAsia"/>
          <w:color w:val="000000"/>
          <w:sz w:val="30"/>
          <w:szCs w:val="30"/>
        </w:rPr>
        <w:t>班委会组织健全，运行良好。</w:t>
      </w:r>
    </w:p>
    <w:p w14:paraId="029F806F" w14:textId="77777777" w:rsidR="003715A2" w:rsidRDefault="003715A2" w:rsidP="003715A2">
      <w:pPr>
        <w:spacing w:line="540" w:lineRule="exact"/>
        <w:ind w:firstLineChars="200" w:firstLine="600"/>
        <w:rPr>
          <w:rFonts w:ascii="楷体_GB2312" w:eastAsia="楷体_GB2312"/>
          <w:color w:val="000000"/>
          <w:sz w:val="30"/>
          <w:szCs w:val="30"/>
        </w:rPr>
      </w:pPr>
      <w:r w:rsidRPr="00CA2B84">
        <w:rPr>
          <w:rFonts w:ascii="楷体_GB2312" w:eastAsia="楷体_GB2312" w:hint="eastAsia"/>
          <w:color w:val="000000"/>
          <w:sz w:val="30"/>
          <w:szCs w:val="30"/>
        </w:rPr>
        <w:t>研究生对课程教学的满意度：课程教学是研究生教育的基础环节，研究生通过参加课程学习，巩固专业基础、接触学科前沿、学习科研方法、接受实践训练、培养创新能力，为专业实践和学位论文环节做好准备，中心从课程体系、课程内容、教师教学水平、教学效果等方面做课程教学满意度调查，研究生对课程教学的普遍评价较高。</w:t>
      </w:r>
    </w:p>
    <w:p w14:paraId="3C0EDE6B" w14:textId="77777777" w:rsidR="003715A2" w:rsidRDefault="003715A2" w:rsidP="003715A2">
      <w:pPr>
        <w:spacing w:line="540" w:lineRule="exact"/>
        <w:ind w:firstLineChars="200" w:firstLine="600"/>
        <w:rPr>
          <w:rFonts w:ascii="楷体_GB2312" w:eastAsia="楷体_GB2312"/>
          <w:color w:val="000000"/>
          <w:sz w:val="30"/>
          <w:szCs w:val="30"/>
        </w:rPr>
      </w:pPr>
      <w:r w:rsidRPr="00CA2B84">
        <w:rPr>
          <w:rFonts w:ascii="楷体_GB2312" w:eastAsia="楷体_GB2312" w:hint="eastAsia"/>
          <w:color w:val="000000"/>
          <w:sz w:val="30"/>
          <w:szCs w:val="30"/>
        </w:rPr>
        <w:t>研究生对指导教师的满意度：指导教师是研究生培养的首要责任人，是决定研究生培养质量的最重要的因素之一。教育部推动的研究生培养机制改革，建立以科学研究为主导的导师责任制，就是要通过扩大导师在研究生培养中的权力，提升导师积极性、主动性，使导师切实担负起研究生成长成才的责任，不断提升研</w:t>
      </w:r>
      <w:r w:rsidRPr="00CA2B84">
        <w:rPr>
          <w:rFonts w:ascii="楷体_GB2312" w:eastAsia="楷体_GB2312" w:hint="eastAsia"/>
          <w:color w:val="000000"/>
          <w:sz w:val="30"/>
          <w:szCs w:val="30"/>
        </w:rPr>
        <w:lastRenderedPageBreak/>
        <w:t>究生培养质量。研究生普遍对导师的学术水平、道德修养、指导频率及时间、就业支持四个方面的评价相当高。</w:t>
      </w:r>
    </w:p>
    <w:p w14:paraId="21777C47" w14:textId="77777777" w:rsidR="003715A2" w:rsidRDefault="003715A2" w:rsidP="003715A2">
      <w:pPr>
        <w:spacing w:line="540" w:lineRule="exact"/>
        <w:ind w:firstLineChars="200" w:firstLine="600"/>
        <w:rPr>
          <w:rFonts w:ascii="楷体_GB2312" w:eastAsia="楷体_GB2312"/>
          <w:color w:val="000000"/>
          <w:sz w:val="30"/>
          <w:szCs w:val="30"/>
        </w:rPr>
      </w:pPr>
      <w:r w:rsidRPr="00CA2B84">
        <w:rPr>
          <w:rFonts w:ascii="楷体_GB2312" w:eastAsia="楷体_GB2312" w:hint="eastAsia"/>
          <w:color w:val="000000"/>
          <w:sz w:val="30"/>
          <w:szCs w:val="30"/>
        </w:rPr>
        <w:t>研究生对研究生教育其他方面的满意度：研究生教育是一项系统工程。课程教学、毕业论文等各个环节，指导教师、课程教师、教学管理人员等各种人员，以及教育政策、管理制度、服务水平、学术氛围、学习与生活条件等等，都是这个系统的重要组成部分。研究生对学校提供的管理与服务、奖学金、</w:t>
      </w:r>
      <w:proofErr w:type="gramStart"/>
      <w:r w:rsidRPr="00CA2B84">
        <w:rPr>
          <w:rFonts w:ascii="楷体_GB2312" w:eastAsia="楷体_GB2312" w:hint="eastAsia"/>
          <w:color w:val="000000"/>
          <w:sz w:val="30"/>
          <w:szCs w:val="30"/>
        </w:rPr>
        <w:t>三助岗位</w:t>
      </w:r>
      <w:proofErr w:type="gramEnd"/>
      <w:r w:rsidRPr="00CA2B84">
        <w:rPr>
          <w:rFonts w:ascii="楷体_GB2312" w:eastAsia="楷体_GB2312" w:hint="eastAsia"/>
          <w:color w:val="000000"/>
          <w:sz w:val="30"/>
          <w:szCs w:val="30"/>
        </w:rPr>
        <w:t>、图书馆、学术氛围、政策制度满意度较好，对食堂、宿舍满意度不高。</w:t>
      </w:r>
    </w:p>
    <w:p w14:paraId="7FE76C42"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3.11就业发展</w:t>
      </w:r>
    </w:p>
    <w:p w14:paraId="6C311037" w14:textId="77777777" w:rsidR="003715A2" w:rsidRDefault="003715A2" w:rsidP="003715A2">
      <w:pPr>
        <w:spacing w:line="540" w:lineRule="exact"/>
        <w:ind w:firstLineChars="200" w:firstLine="600"/>
        <w:rPr>
          <w:rFonts w:ascii="楷体_GB2312" w:eastAsia="楷体_GB2312"/>
          <w:color w:val="000000"/>
          <w:sz w:val="30"/>
          <w:szCs w:val="30"/>
        </w:rPr>
      </w:pPr>
      <w:r w:rsidRPr="004E5381">
        <w:rPr>
          <w:rFonts w:ascii="楷体_GB2312" w:eastAsia="楷体_GB2312" w:hint="eastAsia"/>
          <w:color w:val="000000"/>
          <w:sz w:val="30"/>
          <w:szCs w:val="30"/>
        </w:rPr>
        <w:t>本学位</w:t>
      </w:r>
      <w:proofErr w:type="gramStart"/>
      <w:r w:rsidRPr="004E5381">
        <w:rPr>
          <w:rFonts w:ascii="楷体_GB2312" w:eastAsia="楷体_GB2312" w:hint="eastAsia"/>
          <w:color w:val="000000"/>
          <w:sz w:val="30"/>
          <w:szCs w:val="30"/>
        </w:rPr>
        <w:t>点毕业</w:t>
      </w:r>
      <w:proofErr w:type="gramEnd"/>
      <w:r w:rsidRPr="004E5381">
        <w:rPr>
          <w:rFonts w:ascii="楷体_GB2312" w:eastAsia="楷体_GB2312" w:hint="eastAsia"/>
          <w:color w:val="000000"/>
          <w:sz w:val="30"/>
          <w:szCs w:val="30"/>
        </w:rPr>
        <w:t>研究生</w:t>
      </w:r>
      <w:r>
        <w:rPr>
          <w:rFonts w:ascii="楷体_GB2312" w:eastAsia="楷体_GB2312" w:hint="eastAsia"/>
          <w:color w:val="000000"/>
          <w:sz w:val="30"/>
          <w:szCs w:val="30"/>
        </w:rPr>
        <w:t>一次</w:t>
      </w:r>
      <w:r w:rsidRPr="004E5381">
        <w:rPr>
          <w:rFonts w:ascii="楷体_GB2312" w:eastAsia="楷体_GB2312" w:hint="eastAsia"/>
          <w:color w:val="000000"/>
          <w:sz w:val="30"/>
          <w:szCs w:val="30"/>
        </w:rPr>
        <w:t>就业率达9</w:t>
      </w:r>
      <w:r>
        <w:rPr>
          <w:rFonts w:ascii="楷体_GB2312" w:eastAsia="楷体_GB2312" w:hint="eastAsia"/>
          <w:color w:val="000000"/>
          <w:sz w:val="30"/>
          <w:szCs w:val="30"/>
        </w:rPr>
        <w:t>3</w:t>
      </w:r>
      <w:r w:rsidRPr="004E5381">
        <w:rPr>
          <w:rFonts w:ascii="楷体_GB2312" w:eastAsia="楷体_GB2312" w:hint="eastAsia"/>
          <w:color w:val="000000"/>
          <w:sz w:val="30"/>
          <w:szCs w:val="30"/>
        </w:rPr>
        <w:t>%以上，就业去向为政府部门、大中型企业、事业单位，银行、证券、投资、保险等金融机构，会计师事务所、咨询公司等商业服务机构等各行各业。总体来说，</w:t>
      </w:r>
      <w:r>
        <w:rPr>
          <w:rFonts w:ascii="楷体_GB2312" w:eastAsia="楷体_GB2312" w:hint="eastAsia"/>
          <w:color w:val="000000"/>
          <w:sz w:val="30"/>
          <w:szCs w:val="30"/>
        </w:rPr>
        <w:t>本学位点</w:t>
      </w:r>
      <w:r w:rsidRPr="004E5381">
        <w:rPr>
          <w:rFonts w:ascii="楷体_GB2312" w:eastAsia="楷体_GB2312" w:hint="eastAsia"/>
          <w:color w:val="000000"/>
          <w:sz w:val="30"/>
          <w:szCs w:val="30"/>
        </w:rPr>
        <w:t>毕业生凭借过硬的专业知识和技能、优秀的综合素质和能力，广受用人单位好评。</w:t>
      </w:r>
    </w:p>
    <w:p w14:paraId="31481215" w14:textId="77777777" w:rsidR="003715A2" w:rsidRDefault="003715A2" w:rsidP="003715A2">
      <w:pPr>
        <w:spacing w:line="540" w:lineRule="exact"/>
        <w:ind w:firstLineChars="200" w:firstLine="600"/>
        <w:rPr>
          <w:rFonts w:ascii="楷体_GB2312" w:eastAsia="楷体_GB2312"/>
          <w:color w:val="000000"/>
          <w:sz w:val="30"/>
          <w:szCs w:val="30"/>
        </w:rPr>
      </w:pPr>
      <w:r w:rsidRPr="004E5381">
        <w:rPr>
          <w:rFonts w:ascii="楷体_GB2312" w:eastAsia="楷体_GB2312" w:hint="eastAsia"/>
          <w:color w:val="000000"/>
          <w:sz w:val="30"/>
          <w:szCs w:val="30"/>
        </w:rPr>
        <w:t>毕业生发展质量：本学位</w:t>
      </w:r>
      <w:proofErr w:type="gramStart"/>
      <w:r w:rsidRPr="004E5381">
        <w:rPr>
          <w:rFonts w:ascii="楷体_GB2312" w:eastAsia="楷体_GB2312" w:hint="eastAsia"/>
          <w:color w:val="000000"/>
          <w:sz w:val="30"/>
          <w:szCs w:val="30"/>
        </w:rPr>
        <w:t>点毕业</w:t>
      </w:r>
      <w:proofErr w:type="gramEnd"/>
      <w:r w:rsidRPr="004E5381">
        <w:rPr>
          <w:rFonts w:ascii="楷体_GB2312" w:eastAsia="楷体_GB2312" w:hint="eastAsia"/>
          <w:color w:val="000000"/>
          <w:sz w:val="30"/>
          <w:szCs w:val="30"/>
        </w:rPr>
        <w:t>研究生入</w:t>
      </w:r>
      <w:proofErr w:type="gramStart"/>
      <w:r w:rsidRPr="004E5381">
        <w:rPr>
          <w:rFonts w:ascii="楷体_GB2312" w:eastAsia="楷体_GB2312" w:hint="eastAsia"/>
          <w:color w:val="000000"/>
          <w:sz w:val="30"/>
          <w:szCs w:val="30"/>
        </w:rPr>
        <w:t>职就业</w:t>
      </w:r>
      <w:proofErr w:type="gramEnd"/>
      <w:r w:rsidRPr="004E5381">
        <w:rPr>
          <w:rFonts w:ascii="楷体_GB2312" w:eastAsia="楷体_GB2312" w:hint="eastAsia"/>
          <w:color w:val="000000"/>
          <w:sz w:val="30"/>
          <w:szCs w:val="30"/>
        </w:rPr>
        <w:t>单位后，适应能力佳，就业竞争力强</w:t>
      </w:r>
      <w:r>
        <w:rPr>
          <w:rFonts w:ascii="楷体_GB2312" w:eastAsia="楷体_GB2312" w:hint="eastAsia"/>
          <w:color w:val="000000"/>
          <w:sz w:val="30"/>
          <w:szCs w:val="30"/>
        </w:rPr>
        <w:t>。</w:t>
      </w:r>
    </w:p>
    <w:p w14:paraId="34EA6C19"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4.服务贡献</w:t>
      </w:r>
    </w:p>
    <w:p w14:paraId="2041C4F7"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4.1科技进步</w:t>
      </w:r>
    </w:p>
    <w:p w14:paraId="162DEEF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宋献中教授牵头的</w:t>
      </w:r>
      <w:r w:rsidRPr="006779A5">
        <w:rPr>
          <w:rFonts w:ascii="楷体_GB2312" w:eastAsia="楷体_GB2312" w:hint="eastAsia"/>
          <w:color w:val="000000"/>
          <w:sz w:val="30"/>
          <w:szCs w:val="30"/>
        </w:rPr>
        <w:t>暨南大学人与自然生命共同体重点实验室</w:t>
      </w:r>
      <w:r w:rsidRPr="002A0E1E">
        <w:rPr>
          <w:rFonts w:ascii="楷体_GB2312" w:eastAsia="楷体_GB2312" w:hint="eastAsia"/>
          <w:color w:val="000000"/>
          <w:sz w:val="30"/>
          <w:szCs w:val="30"/>
        </w:rPr>
        <w:t>联合澳门科技大学承担温州市生态环境局苍南分局项目</w:t>
      </w:r>
      <w:proofErr w:type="gramStart"/>
      <w:r w:rsidRPr="002A0E1E">
        <w:rPr>
          <w:rFonts w:ascii="楷体_GB2312" w:eastAsia="楷体_GB2312" w:hint="eastAsia"/>
          <w:color w:val="000000"/>
          <w:sz w:val="30"/>
          <w:szCs w:val="30"/>
        </w:rPr>
        <w:t>“</w:t>
      </w:r>
      <w:proofErr w:type="gramEnd"/>
      <w:r w:rsidRPr="002A0E1E">
        <w:rPr>
          <w:rFonts w:ascii="楷体_GB2312" w:eastAsia="楷体_GB2312" w:hint="eastAsia"/>
          <w:color w:val="000000"/>
          <w:sz w:val="30"/>
          <w:szCs w:val="30"/>
        </w:rPr>
        <w:t>沿浦湾“负碳海湾”建设技术服务项目</w:t>
      </w:r>
      <w:proofErr w:type="gramStart"/>
      <w:r w:rsidRPr="002A0E1E">
        <w:rPr>
          <w:rFonts w:ascii="楷体_GB2312" w:eastAsia="楷体_GB2312" w:hint="eastAsia"/>
          <w:color w:val="000000"/>
          <w:sz w:val="30"/>
          <w:szCs w:val="30"/>
        </w:rPr>
        <w:t>”</w:t>
      </w:r>
      <w:proofErr w:type="gramEnd"/>
      <w:r w:rsidRPr="002A0E1E">
        <w:rPr>
          <w:rFonts w:ascii="楷体_GB2312" w:eastAsia="楷体_GB2312" w:hint="eastAsia"/>
          <w:color w:val="000000"/>
          <w:sz w:val="30"/>
          <w:szCs w:val="30"/>
        </w:rPr>
        <w:t>，助力全国首个“负碳海湾”建设获权威认证，</w:t>
      </w:r>
      <w:proofErr w:type="gramStart"/>
      <w:r w:rsidRPr="002A0E1E">
        <w:rPr>
          <w:rFonts w:ascii="楷体_GB2312" w:eastAsia="楷体_GB2312" w:hint="eastAsia"/>
          <w:color w:val="000000"/>
          <w:sz w:val="30"/>
          <w:szCs w:val="30"/>
        </w:rPr>
        <w:t>沿浦湾</w:t>
      </w:r>
      <w:proofErr w:type="gramEnd"/>
      <w:r w:rsidRPr="002A0E1E">
        <w:rPr>
          <w:rFonts w:ascii="楷体_GB2312" w:eastAsia="楷体_GB2312" w:hint="eastAsia"/>
          <w:color w:val="000000"/>
          <w:sz w:val="30"/>
          <w:szCs w:val="30"/>
        </w:rPr>
        <w:t>“负碳海湾”建设的成功，得益于其充分利用湾区丰富</w:t>
      </w:r>
      <w:proofErr w:type="gramStart"/>
      <w:r w:rsidRPr="002A0E1E">
        <w:rPr>
          <w:rFonts w:ascii="楷体_GB2312" w:eastAsia="楷体_GB2312" w:hint="eastAsia"/>
          <w:color w:val="000000"/>
          <w:sz w:val="30"/>
          <w:szCs w:val="30"/>
        </w:rPr>
        <w:t>的蓝碳资源</w:t>
      </w:r>
      <w:proofErr w:type="gramEnd"/>
      <w:r w:rsidRPr="002A0E1E">
        <w:rPr>
          <w:rFonts w:ascii="楷体_GB2312" w:eastAsia="楷体_GB2312" w:hint="eastAsia"/>
          <w:color w:val="000000"/>
          <w:sz w:val="30"/>
          <w:szCs w:val="30"/>
        </w:rPr>
        <w:t>，以及大力发展清洁能源项目，积极探索氢能、光伏、核电和海上风电等项目建设的战略决策。</w:t>
      </w:r>
      <w:proofErr w:type="gramStart"/>
      <w:r w:rsidRPr="002A0E1E">
        <w:rPr>
          <w:rFonts w:ascii="楷体_GB2312" w:eastAsia="楷体_GB2312" w:hint="eastAsia"/>
          <w:color w:val="000000"/>
          <w:sz w:val="30"/>
          <w:szCs w:val="30"/>
        </w:rPr>
        <w:t>沿浦</w:t>
      </w:r>
      <w:r w:rsidRPr="002A0E1E">
        <w:rPr>
          <w:rFonts w:ascii="楷体_GB2312" w:eastAsia="楷体_GB2312" w:hint="eastAsia"/>
          <w:color w:val="000000"/>
          <w:sz w:val="30"/>
          <w:szCs w:val="30"/>
        </w:rPr>
        <w:lastRenderedPageBreak/>
        <w:t>湾</w:t>
      </w:r>
      <w:proofErr w:type="gramEnd"/>
      <w:r w:rsidRPr="002A0E1E">
        <w:rPr>
          <w:rFonts w:ascii="楷体_GB2312" w:eastAsia="楷体_GB2312" w:hint="eastAsia"/>
          <w:color w:val="000000"/>
          <w:sz w:val="30"/>
          <w:szCs w:val="30"/>
        </w:rPr>
        <w:t>的成功经验将为全国其他海湾区域的低碳发展提供重要借鉴。</w:t>
      </w:r>
    </w:p>
    <w:p w14:paraId="7B34DB7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4.2</w:t>
      </w:r>
      <w:r w:rsidRPr="00CD46E6">
        <w:rPr>
          <w:rFonts w:ascii="楷体_GB2312" w:eastAsia="楷体_GB2312" w:hint="eastAsia"/>
          <w:color w:val="000000"/>
          <w:sz w:val="30"/>
          <w:szCs w:val="30"/>
        </w:rPr>
        <w:t>服务国家和地方经济建设及社会发展（智库）</w:t>
      </w:r>
    </w:p>
    <w:p w14:paraId="35D40905"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宋献中教授团队</w:t>
      </w:r>
      <w:r w:rsidRPr="002A0E1E">
        <w:rPr>
          <w:rFonts w:ascii="楷体_GB2312" w:eastAsia="楷体_GB2312" w:hint="eastAsia"/>
          <w:color w:val="000000"/>
          <w:sz w:val="30"/>
          <w:szCs w:val="30"/>
        </w:rPr>
        <w:t>承担了广东省教育厅项目“粤港澳大湾区绿色低碳发展战略与人才引育研究”，该项目则更侧重于探索绿色低碳发展的战略路径和人才培育机制，为区域经济的转型升级和绿色发展提供有力的支撑和保障。</w:t>
      </w:r>
    </w:p>
    <w:p w14:paraId="226AE5DA" w14:textId="77777777" w:rsidR="003715A2" w:rsidRPr="002A0E1E" w:rsidRDefault="003715A2" w:rsidP="003715A2">
      <w:pPr>
        <w:spacing w:line="540" w:lineRule="exact"/>
        <w:ind w:firstLineChars="200" w:firstLine="600"/>
        <w:rPr>
          <w:rFonts w:ascii="楷体_GB2312" w:eastAsia="楷体_GB2312"/>
          <w:color w:val="000000"/>
          <w:sz w:val="30"/>
          <w:szCs w:val="30"/>
        </w:rPr>
      </w:pPr>
      <w:r w:rsidRPr="002A0E1E">
        <w:rPr>
          <w:rFonts w:ascii="楷体_GB2312" w:eastAsia="楷体_GB2312" w:hint="eastAsia"/>
          <w:color w:val="000000"/>
          <w:sz w:val="30"/>
          <w:szCs w:val="30"/>
        </w:rPr>
        <w:t>沈洪涛</w:t>
      </w:r>
      <w:r>
        <w:rPr>
          <w:rFonts w:ascii="楷体_GB2312" w:eastAsia="楷体_GB2312" w:hint="eastAsia"/>
          <w:color w:val="000000"/>
          <w:sz w:val="30"/>
          <w:szCs w:val="30"/>
        </w:rPr>
        <w:t>等老师</w:t>
      </w:r>
      <w:r w:rsidRPr="002A0E1E">
        <w:rPr>
          <w:rFonts w:ascii="楷体_GB2312" w:eastAsia="楷体_GB2312" w:hint="eastAsia"/>
          <w:color w:val="000000"/>
          <w:sz w:val="30"/>
          <w:szCs w:val="30"/>
        </w:rPr>
        <w:t>智库报告《广东省涉海企业今年上半年经营情况、主要困难与政策诉求》被《南方智库》采纳，获得了茂名市委书记庄悦群批示。</w:t>
      </w:r>
    </w:p>
    <w:p w14:paraId="7A009849" w14:textId="77777777" w:rsidR="003715A2" w:rsidRDefault="003715A2" w:rsidP="003715A2">
      <w:pPr>
        <w:spacing w:line="540" w:lineRule="exact"/>
        <w:ind w:firstLineChars="200" w:firstLine="600"/>
        <w:rPr>
          <w:rFonts w:ascii="楷体_GB2312" w:eastAsia="楷体_GB2312"/>
          <w:color w:val="000000"/>
          <w:sz w:val="30"/>
          <w:szCs w:val="30"/>
        </w:rPr>
      </w:pPr>
      <w:r>
        <w:rPr>
          <w:rFonts w:ascii="楷体_GB2312" w:eastAsia="楷体_GB2312" w:hint="eastAsia"/>
          <w:color w:val="000000"/>
          <w:sz w:val="30"/>
          <w:szCs w:val="30"/>
        </w:rPr>
        <w:t>4.3</w:t>
      </w:r>
      <w:r w:rsidRPr="00CD46E6">
        <w:rPr>
          <w:rFonts w:ascii="楷体_GB2312" w:eastAsia="楷体_GB2312" w:hint="eastAsia"/>
          <w:color w:val="000000"/>
          <w:sz w:val="30"/>
          <w:szCs w:val="30"/>
        </w:rPr>
        <w:t>文化建设</w:t>
      </w:r>
    </w:p>
    <w:p w14:paraId="03DF1C4A" w14:textId="77777777" w:rsidR="003715A2" w:rsidRPr="00EE4E30" w:rsidRDefault="003715A2" w:rsidP="003715A2">
      <w:pPr>
        <w:spacing w:line="540" w:lineRule="exact"/>
        <w:ind w:firstLineChars="196" w:firstLine="588"/>
        <w:rPr>
          <w:rFonts w:ascii="楷体_GB2312" w:eastAsia="楷体_GB2312"/>
          <w:color w:val="000000"/>
          <w:sz w:val="30"/>
          <w:szCs w:val="30"/>
        </w:rPr>
      </w:pPr>
      <w:r>
        <w:rPr>
          <w:rFonts w:ascii="楷体_GB2312" w:eastAsia="楷体_GB2312" w:hint="eastAsia"/>
          <w:color w:val="000000"/>
          <w:sz w:val="30"/>
          <w:szCs w:val="30"/>
        </w:rPr>
        <w:t>宋献中教授牵头的</w:t>
      </w:r>
      <w:r w:rsidRPr="006779A5">
        <w:rPr>
          <w:rFonts w:ascii="楷体_GB2312" w:eastAsia="楷体_GB2312" w:hint="eastAsia"/>
          <w:color w:val="000000"/>
          <w:sz w:val="30"/>
          <w:szCs w:val="30"/>
        </w:rPr>
        <w:t>暨南大学人与自然生命共同体重点实验室</w:t>
      </w:r>
      <w:r w:rsidRPr="002A0E1E">
        <w:rPr>
          <w:rFonts w:ascii="楷体_GB2312" w:eastAsia="楷体_GB2312" w:hint="eastAsia"/>
          <w:color w:val="000000"/>
          <w:sz w:val="30"/>
          <w:szCs w:val="30"/>
        </w:rPr>
        <w:t>完成广东省哲学社会科学创新工程特别委托项目“粤港澳大湾区绿色低碳发展评价研究”项目，该项目构建了科学合理的绿色低碳发展评价体系，对粤港澳大湾区的绿色低碳发展进程进行了全面、客观的评价，为区域经济的可持续发展提供了科学依据和决策支持，形成了15万字蓝皮书报告《粤港澳大湾区绿色低碳发展评价》与期刊论文《粤港澳大湾区绿色低碳发展评价体系构建与应用》。</w:t>
      </w:r>
    </w:p>
    <w:p w14:paraId="7892D2B5" w14:textId="77777777" w:rsidR="003715A2" w:rsidRPr="003715A2" w:rsidRDefault="003715A2" w:rsidP="00422347">
      <w:pPr>
        <w:spacing w:line="360" w:lineRule="auto"/>
        <w:rPr>
          <w:rFonts w:ascii="仿宋_gb2312" w:eastAsia="仿宋_gb2312" w:hAnsi="微软雅黑" w:cs="宋体" w:hint="eastAsia"/>
          <w:color w:val="171717"/>
          <w:kern w:val="0"/>
          <w:sz w:val="29"/>
          <w:szCs w:val="29"/>
        </w:rPr>
      </w:pPr>
    </w:p>
    <w:sectPr w:rsidR="003715A2" w:rsidRPr="003715A2" w:rsidSect="000D6D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E947" w14:textId="77777777" w:rsidR="00B61417" w:rsidRDefault="00B61417" w:rsidP="00BF5B53">
      <w:r>
        <w:separator/>
      </w:r>
    </w:p>
  </w:endnote>
  <w:endnote w:type="continuationSeparator" w:id="0">
    <w:p w14:paraId="2C2243CC" w14:textId="77777777" w:rsidR="00B61417" w:rsidRDefault="00B61417" w:rsidP="00BF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167A70A3" w14:textId="77777777" w:rsidR="005F1C7B" w:rsidRDefault="00366902">
        <w:pPr>
          <w:pStyle w:val="a3"/>
          <w:jc w:val="center"/>
        </w:pPr>
        <w:r>
          <w:fldChar w:fldCharType="begin"/>
        </w:r>
        <w:r w:rsidR="00E16822">
          <w:instrText xml:space="preserve"> PAGE   \* MERGEFORMAT </w:instrText>
        </w:r>
        <w:r>
          <w:fldChar w:fldCharType="separate"/>
        </w:r>
        <w:r w:rsidR="00267D0C" w:rsidRPr="00267D0C">
          <w:rPr>
            <w:noProof/>
            <w:lang w:val="zh-CN"/>
          </w:rPr>
          <w:t>4</w:t>
        </w:r>
        <w:r>
          <w:rPr>
            <w:lang w:val="zh-CN"/>
          </w:rPr>
          <w:fldChar w:fldCharType="end"/>
        </w:r>
      </w:p>
    </w:sdtContent>
  </w:sdt>
  <w:p w14:paraId="723FD1F6" w14:textId="77777777" w:rsidR="005F1C7B" w:rsidRDefault="005F1C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C1A05" w14:textId="77777777" w:rsidR="00B61417" w:rsidRDefault="00B61417" w:rsidP="00BF5B53">
      <w:r>
        <w:separator/>
      </w:r>
    </w:p>
  </w:footnote>
  <w:footnote w:type="continuationSeparator" w:id="0">
    <w:p w14:paraId="010C32A4" w14:textId="77777777" w:rsidR="00B61417" w:rsidRDefault="00B61417" w:rsidP="00BF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4BB"/>
    <w:multiLevelType w:val="hybridMultilevel"/>
    <w:tmpl w:val="2BCC7EDA"/>
    <w:lvl w:ilvl="0" w:tplc="A00EE3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6016409"/>
    <w:multiLevelType w:val="hybridMultilevel"/>
    <w:tmpl w:val="B91ABB58"/>
    <w:lvl w:ilvl="0" w:tplc="6C5C792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5567CD"/>
    <w:multiLevelType w:val="hybridMultilevel"/>
    <w:tmpl w:val="2A84735A"/>
    <w:lvl w:ilvl="0" w:tplc="7AE4ED7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7687697">
    <w:abstractNumId w:val="2"/>
  </w:num>
  <w:num w:numId="2" w16cid:durableId="636761297">
    <w:abstractNumId w:val="0"/>
  </w:num>
  <w:num w:numId="3" w16cid:durableId="816335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9557C"/>
    <w:rsid w:val="000B4F9D"/>
    <w:rsid w:val="000D2F6F"/>
    <w:rsid w:val="000D6D11"/>
    <w:rsid w:val="00117C8F"/>
    <w:rsid w:val="00123C9D"/>
    <w:rsid w:val="00131F08"/>
    <w:rsid w:val="001923A4"/>
    <w:rsid w:val="001B0A3A"/>
    <w:rsid w:val="001C2850"/>
    <w:rsid w:val="001F77DE"/>
    <w:rsid w:val="00204DCC"/>
    <w:rsid w:val="00205817"/>
    <w:rsid w:val="002136DD"/>
    <w:rsid w:val="002266E7"/>
    <w:rsid w:val="00234F5B"/>
    <w:rsid w:val="0026171A"/>
    <w:rsid w:val="00267D0C"/>
    <w:rsid w:val="0027101E"/>
    <w:rsid w:val="002755D7"/>
    <w:rsid w:val="002821D9"/>
    <w:rsid w:val="002A604E"/>
    <w:rsid w:val="002B5048"/>
    <w:rsid w:val="002B7EB9"/>
    <w:rsid w:val="002C3200"/>
    <w:rsid w:val="002D4ED2"/>
    <w:rsid w:val="002E1E83"/>
    <w:rsid w:val="002E5A66"/>
    <w:rsid w:val="00305A75"/>
    <w:rsid w:val="003208CF"/>
    <w:rsid w:val="003339A6"/>
    <w:rsid w:val="00336CA3"/>
    <w:rsid w:val="00366902"/>
    <w:rsid w:val="003715A2"/>
    <w:rsid w:val="003A101A"/>
    <w:rsid w:val="003B4C6B"/>
    <w:rsid w:val="003E356C"/>
    <w:rsid w:val="00412328"/>
    <w:rsid w:val="004159DB"/>
    <w:rsid w:val="00416951"/>
    <w:rsid w:val="00422347"/>
    <w:rsid w:val="00425437"/>
    <w:rsid w:val="00453B32"/>
    <w:rsid w:val="00476AB6"/>
    <w:rsid w:val="004873F3"/>
    <w:rsid w:val="004C6B87"/>
    <w:rsid w:val="004D121E"/>
    <w:rsid w:val="004E2395"/>
    <w:rsid w:val="004F7D3A"/>
    <w:rsid w:val="00501DB7"/>
    <w:rsid w:val="005136CF"/>
    <w:rsid w:val="00527EEC"/>
    <w:rsid w:val="00540D1E"/>
    <w:rsid w:val="00541C2E"/>
    <w:rsid w:val="00554BE2"/>
    <w:rsid w:val="00555F8D"/>
    <w:rsid w:val="00556708"/>
    <w:rsid w:val="00564206"/>
    <w:rsid w:val="00564EC3"/>
    <w:rsid w:val="00581B84"/>
    <w:rsid w:val="005831ED"/>
    <w:rsid w:val="005C3136"/>
    <w:rsid w:val="005F1C7B"/>
    <w:rsid w:val="00620E99"/>
    <w:rsid w:val="00630091"/>
    <w:rsid w:val="006602CD"/>
    <w:rsid w:val="0066455A"/>
    <w:rsid w:val="006D0E7C"/>
    <w:rsid w:val="006D7157"/>
    <w:rsid w:val="00711128"/>
    <w:rsid w:val="00711E09"/>
    <w:rsid w:val="00721D3F"/>
    <w:rsid w:val="007370A2"/>
    <w:rsid w:val="00737B70"/>
    <w:rsid w:val="007605F4"/>
    <w:rsid w:val="007942B9"/>
    <w:rsid w:val="007C41BE"/>
    <w:rsid w:val="007D5EFB"/>
    <w:rsid w:val="007F1C98"/>
    <w:rsid w:val="00813994"/>
    <w:rsid w:val="008669A7"/>
    <w:rsid w:val="0088415F"/>
    <w:rsid w:val="008B68B7"/>
    <w:rsid w:val="008C057B"/>
    <w:rsid w:val="008E29FA"/>
    <w:rsid w:val="008E4034"/>
    <w:rsid w:val="0091004F"/>
    <w:rsid w:val="00915E55"/>
    <w:rsid w:val="00924C29"/>
    <w:rsid w:val="00945187"/>
    <w:rsid w:val="00955142"/>
    <w:rsid w:val="0095735C"/>
    <w:rsid w:val="009615EB"/>
    <w:rsid w:val="009B46E4"/>
    <w:rsid w:val="009D1B08"/>
    <w:rsid w:val="00A06005"/>
    <w:rsid w:val="00A1424E"/>
    <w:rsid w:val="00A22050"/>
    <w:rsid w:val="00A45DC1"/>
    <w:rsid w:val="00A501AC"/>
    <w:rsid w:val="00A6630B"/>
    <w:rsid w:val="00A70685"/>
    <w:rsid w:val="00A95500"/>
    <w:rsid w:val="00A961B9"/>
    <w:rsid w:val="00AB7898"/>
    <w:rsid w:val="00B0717D"/>
    <w:rsid w:val="00B2116E"/>
    <w:rsid w:val="00B23E10"/>
    <w:rsid w:val="00B31361"/>
    <w:rsid w:val="00B37D0C"/>
    <w:rsid w:val="00B422CC"/>
    <w:rsid w:val="00B44154"/>
    <w:rsid w:val="00B61417"/>
    <w:rsid w:val="00B80408"/>
    <w:rsid w:val="00BC1DD7"/>
    <w:rsid w:val="00BD35AE"/>
    <w:rsid w:val="00BF1476"/>
    <w:rsid w:val="00BF5B53"/>
    <w:rsid w:val="00C239FD"/>
    <w:rsid w:val="00C65CBE"/>
    <w:rsid w:val="00C72CCE"/>
    <w:rsid w:val="00C75F33"/>
    <w:rsid w:val="00C83772"/>
    <w:rsid w:val="00C90CAC"/>
    <w:rsid w:val="00CC5FFC"/>
    <w:rsid w:val="00CD6501"/>
    <w:rsid w:val="00CE11BB"/>
    <w:rsid w:val="00CE53DD"/>
    <w:rsid w:val="00CF4205"/>
    <w:rsid w:val="00D0568D"/>
    <w:rsid w:val="00D23366"/>
    <w:rsid w:val="00D2549A"/>
    <w:rsid w:val="00D32424"/>
    <w:rsid w:val="00D632D6"/>
    <w:rsid w:val="00D64CD7"/>
    <w:rsid w:val="00D82B73"/>
    <w:rsid w:val="00D877AD"/>
    <w:rsid w:val="00D87BF1"/>
    <w:rsid w:val="00D90D11"/>
    <w:rsid w:val="00D9734E"/>
    <w:rsid w:val="00DA058D"/>
    <w:rsid w:val="00DA5889"/>
    <w:rsid w:val="00DB5099"/>
    <w:rsid w:val="00E13C29"/>
    <w:rsid w:val="00E16822"/>
    <w:rsid w:val="00E34B51"/>
    <w:rsid w:val="00E439DF"/>
    <w:rsid w:val="00E959A6"/>
    <w:rsid w:val="00EC76E5"/>
    <w:rsid w:val="00ED2851"/>
    <w:rsid w:val="00ED309B"/>
    <w:rsid w:val="00EF0314"/>
    <w:rsid w:val="00F051CE"/>
    <w:rsid w:val="00F24C1F"/>
    <w:rsid w:val="00F25AEF"/>
    <w:rsid w:val="00F4749E"/>
    <w:rsid w:val="00F53FCE"/>
    <w:rsid w:val="00F56B2B"/>
    <w:rsid w:val="00F748E4"/>
    <w:rsid w:val="00FC66FD"/>
    <w:rsid w:val="00FE02DD"/>
    <w:rsid w:val="00FF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99D5D"/>
  <w15:docId w15:val="{9262A19A-5BF2-41BA-BBE4-29A3AD33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paragraph" w:styleId="a6">
    <w:name w:val="header"/>
    <w:basedOn w:val="a"/>
    <w:link w:val="a7"/>
    <w:uiPriority w:val="99"/>
    <w:unhideWhenUsed/>
    <w:rsid w:val="00C65CB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65CBE"/>
    <w:rPr>
      <w:sz w:val="18"/>
      <w:szCs w:val="18"/>
    </w:rPr>
  </w:style>
  <w:style w:type="table" w:styleId="a8">
    <w:name w:val="Table Grid"/>
    <w:basedOn w:val="a1"/>
    <w:uiPriority w:val="39"/>
    <w:qFormat/>
    <w:rsid w:val="002755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755D7"/>
    <w:pPr>
      <w:ind w:firstLineChars="200" w:firstLine="420"/>
    </w:pPr>
  </w:style>
  <w:style w:type="character" w:styleId="aa">
    <w:name w:val="Hyperlink"/>
    <w:basedOn w:val="a0"/>
    <w:uiPriority w:val="99"/>
    <w:semiHidden/>
    <w:unhideWhenUsed/>
    <w:rsid w:val="002755D7"/>
    <w:rPr>
      <w:color w:val="0000FF"/>
      <w:u w:val="single"/>
    </w:rPr>
  </w:style>
  <w:style w:type="paragraph" w:customStyle="1" w:styleId="1">
    <w:name w:val="列表段落1"/>
    <w:basedOn w:val="a"/>
    <w:uiPriority w:val="99"/>
    <w:qFormat/>
    <w:rsid w:val="003715A2"/>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2068</Words>
  <Characters>11793</Characters>
  <Application>Microsoft Office Word</Application>
  <DocSecurity>0</DocSecurity>
  <Lines>98</Lines>
  <Paragraphs>27</Paragraphs>
  <ScaleCrop>false</ScaleCrop>
  <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3</cp:revision>
  <dcterms:created xsi:type="dcterms:W3CDTF">2025-03-14T01:24:00Z</dcterms:created>
  <dcterms:modified xsi:type="dcterms:W3CDTF">2025-03-14T01:46:00Z</dcterms:modified>
</cp:coreProperties>
</file>