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85482">
      <w:pPr>
        <w:spacing w:afterLines="50" w:line="560" w:lineRule="exact"/>
        <w:jc w:val="center"/>
        <w:rPr>
          <w:rFonts w:hint="eastAsia" w:ascii="方正小标宋简体" w:hAnsi="宋体" w:eastAsia="方正小标宋简体"/>
          <w:b/>
          <w:color w:val="000000" w:themeColor="text1"/>
          <w:sz w:val="52"/>
          <w:szCs w:val="52"/>
          <w14:textFill>
            <w14:solidFill>
              <w14:schemeClr w14:val="tx1"/>
            </w14:solidFill>
          </w14:textFill>
        </w:rPr>
      </w:pPr>
    </w:p>
    <w:p w14:paraId="64FD5AEE">
      <w:pPr>
        <w:spacing w:afterLines="50" w:line="560" w:lineRule="exact"/>
        <w:jc w:val="center"/>
        <w:rPr>
          <w:rFonts w:hint="eastAsia" w:ascii="方正小标宋简体" w:hAnsi="宋体" w:eastAsia="方正小标宋简体"/>
          <w:b/>
          <w:color w:val="000000" w:themeColor="text1"/>
          <w:sz w:val="52"/>
          <w:szCs w:val="52"/>
          <w14:textFill>
            <w14:solidFill>
              <w14:schemeClr w14:val="tx1"/>
            </w14:solidFill>
          </w14:textFill>
        </w:rPr>
      </w:pPr>
    </w:p>
    <w:p w14:paraId="46EF58CC">
      <w:pPr>
        <w:spacing w:afterLines="50" w:line="560" w:lineRule="exact"/>
        <w:jc w:val="center"/>
        <w:rPr>
          <w:rFonts w:hint="eastAsia" w:ascii="方正小标宋简体" w:hAnsi="宋体" w:eastAsia="方正小标宋简体"/>
          <w:b/>
          <w:color w:val="000000" w:themeColor="text1"/>
          <w:sz w:val="52"/>
          <w:szCs w:val="52"/>
          <w14:textFill>
            <w14:solidFill>
              <w14:schemeClr w14:val="tx1"/>
            </w14:solidFill>
          </w14:textFill>
        </w:rPr>
      </w:pPr>
    </w:p>
    <w:p w14:paraId="5249934B">
      <w:pPr>
        <w:spacing w:afterLines="50" w:line="560" w:lineRule="exact"/>
        <w:jc w:val="center"/>
        <w:rPr>
          <w:rFonts w:hint="eastAsia" w:ascii="方正小标宋简体" w:hAnsi="宋体" w:eastAsia="方正小标宋简体"/>
          <w:b/>
          <w:color w:val="000000" w:themeColor="text1"/>
          <w:sz w:val="52"/>
          <w:szCs w:val="52"/>
          <w14:textFill>
            <w14:solidFill>
              <w14:schemeClr w14:val="tx1"/>
            </w14:solidFill>
          </w14:textFill>
        </w:rPr>
      </w:pPr>
    </w:p>
    <w:p w14:paraId="63157A5A">
      <w:pPr>
        <w:spacing w:afterLines="50" w:line="560" w:lineRule="exact"/>
        <w:jc w:val="center"/>
        <w:rPr>
          <w:rFonts w:ascii="方正小标宋简体" w:hAnsi="宋体" w:eastAsia="方正小标宋简体"/>
          <w:b/>
          <w:color w:val="000000" w:themeColor="text1"/>
          <w:sz w:val="52"/>
          <w:szCs w:val="52"/>
          <w14:textFill>
            <w14:solidFill>
              <w14:schemeClr w14:val="tx1"/>
            </w14:solidFill>
          </w14:textFill>
        </w:rPr>
      </w:pPr>
      <w:r>
        <w:rPr>
          <w:rFonts w:hint="eastAsia" w:ascii="方正小标宋简体" w:hAnsi="宋体" w:eastAsia="方正小标宋简体"/>
          <w:b/>
          <w:color w:val="000000" w:themeColor="text1"/>
          <w:sz w:val="52"/>
          <w:szCs w:val="52"/>
          <w14:textFill>
            <w14:solidFill>
              <w14:schemeClr w14:val="tx1"/>
            </w14:solidFill>
          </w14:textFill>
        </w:rPr>
        <w:t>学位授权点建设年度报告</w:t>
      </w:r>
    </w:p>
    <w:p w14:paraId="082C22FE">
      <w:pPr>
        <w:spacing w:afterLines="50" w:line="560" w:lineRule="exact"/>
        <w:jc w:val="center"/>
        <w:rPr>
          <w:rFonts w:eastAsia="KaiTi_GB2312"/>
          <w:b/>
          <w:color w:val="000000" w:themeColor="text1"/>
          <w:sz w:val="30"/>
          <w:szCs w:val="30"/>
          <w14:textFill>
            <w14:solidFill>
              <w14:schemeClr w14:val="tx1"/>
            </w14:solidFill>
          </w14:textFill>
        </w:rPr>
      </w:pPr>
      <w:r>
        <w:rPr>
          <w:rFonts w:hint="eastAsia" w:eastAsia="KaiTi_GB2312"/>
          <w:b/>
          <w:color w:val="000000" w:themeColor="text1"/>
          <w:sz w:val="30"/>
          <w:szCs w:val="30"/>
          <w14:textFill>
            <w14:solidFill>
              <w14:schemeClr w14:val="tx1"/>
            </w14:solidFill>
          </w14:textFill>
        </w:rPr>
        <w:t>（2023年）</w:t>
      </w:r>
    </w:p>
    <w:p w14:paraId="4887F7D6">
      <w:pPr>
        <w:spacing w:afterLines="50" w:line="560" w:lineRule="exact"/>
        <w:rPr>
          <w:rFonts w:ascii="方正小标宋简体" w:hAnsi="宋体" w:eastAsia="方正小标宋简体"/>
          <w:b/>
          <w:color w:val="000000" w:themeColor="text1"/>
          <w:sz w:val="44"/>
          <w:szCs w:val="44"/>
          <w14:textFill>
            <w14:solidFill>
              <w14:schemeClr w14:val="tx1"/>
            </w14:solidFill>
          </w14:textFill>
        </w:rPr>
      </w:pPr>
    </w:p>
    <w:p w14:paraId="595C5DE2">
      <w:pPr>
        <w:spacing w:afterLines="50" w:line="560" w:lineRule="exact"/>
        <w:jc w:val="center"/>
        <w:rPr>
          <w:rFonts w:ascii="方正小标宋简体" w:hAnsi="宋体" w:eastAsia="方正小标宋简体"/>
          <w:b/>
          <w:color w:val="000000" w:themeColor="text1"/>
          <w:sz w:val="44"/>
          <w:szCs w:val="44"/>
          <w14:textFill>
            <w14:solidFill>
              <w14:schemeClr w14:val="tx1"/>
            </w14:solidFill>
          </w14:textFill>
        </w:rPr>
      </w:pPr>
    </w:p>
    <w:tbl>
      <w:tblPr>
        <w:tblStyle w:val="4"/>
        <w:tblW w:w="0" w:type="auto"/>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2160"/>
        <w:gridCol w:w="2880"/>
      </w:tblGrid>
      <w:tr w14:paraId="2FC147F2">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14:paraId="2A57E46E">
            <w:pPr>
              <w:spacing w:line="200" w:lineRule="atLeast"/>
              <w:jc w:val="distribute"/>
              <w:rPr>
                <w:rFonts w:eastAsia="KaiTi_GB2312"/>
                <w:b/>
                <w:color w:val="000000" w:themeColor="text1"/>
                <w:sz w:val="30"/>
                <w:szCs w:val="30"/>
                <w14:textFill>
                  <w14:solidFill>
                    <w14:schemeClr w14:val="tx1"/>
                  </w14:solidFill>
                </w14:textFill>
              </w:rPr>
            </w:pPr>
            <w:r>
              <w:rPr>
                <w:rFonts w:hint="eastAsia" w:eastAsia="KaiTi_GB2312"/>
                <w:b/>
                <w:color w:val="000000" w:themeColor="text1"/>
                <w:sz w:val="30"/>
                <w:szCs w:val="30"/>
                <w14:textFill>
                  <w14:solidFill>
                    <w14:schemeClr w14:val="tx1"/>
                  </w14:solidFill>
                </w14:textFill>
              </w:rPr>
              <w:t>学位授予单位</w:t>
            </w:r>
          </w:p>
        </w:tc>
        <w:tc>
          <w:tcPr>
            <w:tcW w:w="2880" w:type="dxa"/>
            <w:tcBorders>
              <w:bottom w:val="single" w:color="auto" w:sz="4" w:space="0"/>
            </w:tcBorders>
            <w:vAlign w:val="center"/>
          </w:tcPr>
          <w:p w14:paraId="677D9F61">
            <w:pPr>
              <w:rPr>
                <w:rFonts w:eastAsia="KaiTi_GB2312"/>
                <w:b/>
                <w:color w:val="000000" w:themeColor="text1"/>
                <w:sz w:val="30"/>
                <w:szCs w:val="30"/>
                <w14:textFill>
                  <w14:solidFill>
                    <w14:schemeClr w14:val="tx1"/>
                  </w14:solidFill>
                </w14:textFill>
              </w:rPr>
            </w:pPr>
            <w:r>
              <w:rPr>
                <w:rFonts w:eastAsia="KaiTi_GB2312"/>
                <w:b/>
                <w:color w:val="000000" w:themeColor="text1"/>
                <w:sz w:val="30"/>
                <w:szCs w:val="30"/>
                <w14:textFill>
                  <w14:solidFill>
                    <w14:schemeClr w14:val="tx1"/>
                  </w14:solidFill>
                </w14:textFill>
              </w:rPr>
              <w:t>名称：</w:t>
            </w:r>
            <w:r>
              <w:rPr>
                <w:rFonts w:hint="eastAsia" w:eastAsia="KaiTi_GB2312"/>
                <w:b/>
                <w:color w:val="000000" w:themeColor="text1"/>
                <w:sz w:val="30"/>
                <w:szCs w:val="30"/>
                <w14:textFill>
                  <w14:solidFill>
                    <w14:schemeClr w14:val="tx1"/>
                  </w14:solidFill>
                </w14:textFill>
              </w:rPr>
              <w:t>暨南大学</w:t>
            </w:r>
          </w:p>
        </w:tc>
      </w:tr>
      <w:tr w14:paraId="2DD068B9">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14:paraId="564E96A4">
            <w:pPr>
              <w:jc w:val="center"/>
              <w:rPr>
                <w:rFonts w:eastAsia="KaiTi_GB2312"/>
                <w:b/>
                <w:color w:val="000000" w:themeColor="text1"/>
                <w:sz w:val="30"/>
                <w:szCs w:val="30"/>
                <w14:textFill>
                  <w14:solidFill>
                    <w14:schemeClr w14:val="tx1"/>
                  </w14:solidFill>
                </w14:textFill>
              </w:rPr>
            </w:pPr>
          </w:p>
        </w:tc>
        <w:tc>
          <w:tcPr>
            <w:tcW w:w="2880" w:type="dxa"/>
            <w:tcBorders>
              <w:top w:val="single" w:color="auto" w:sz="4" w:space="0"/>
            </w:tcBorders>
            <w:vAlign w:val="center"/>
          </w:tcPr>
          <w:p w14:paraId="0E96B83F">
            <w:pPr>
              <w:rPr>
                <w:rFonts w:eastAsia="KaiTi_GB2312"/>
                <w:b/>
                <w:color w:val="000000" w:themeColor="text1"/>
                <w:sz w:val="30"/>
                <w:szCs w:val="30"/>
                <w14:textFill>
                  <w14:solidFill>
                    <w14:schemeClr w14:val="tx1"/>
                  </w14:solidFill>
                </w14:textFill>
              </w:rPr>
            </w:pPr>
            <w:r>
              <w:rPr>
                <w:rFonts w:eastAsia="KaiTi_GB2312"/>
                <w:b/>
                <w:color w:val="000000" w:themeColor="text1"/>
                <w:sz w:val="30"/>
                <w:szCs w:val="30"/>
                <w14:textFill>
                  <w14:solidFill>
                    <w14:schemeClr w14:val="tx1"/>
                  </w14:solidFill>
                </w14:textFill>
              </w:rPr>
              <w:t>代码：</w:t>
            </w:r>
            <w:r>
              <w:rPr>
                <w:rFonts w:hint="eastAsia" w:eastAsia="KaiTi_GB2312"/>
                <w:b/>
                <w:color w:val="000000" w:themeColor="text1"/>
                <w:sz w:val="30"/>
                <w:szCs w:val="30"/>
                <w14:textFill>
                  <w14:solidFill>
                    <w14:schemeClr w14:val="tx1"/>
                  </w14:solidFill>
                </w14:textFill>
              </w:rPr>
              <w:t>10559</w:t>
            </w:r>
          </w:p>
        </w:tc>
      </w:tr>
    </w:tbl>
    <w:p w14:paraId="63E7E9E4">
      <w:pPr>
        <w:spacing w:line="720" w:lineRule="auto"/>
        <w:jc w:val="center"/>
        <w:rPr>
          <w:rFonts w:eastAsia="KaiTi_GB2312"/>
          <w:b/>
          <w:color w:val="000000" w:themeColor="text1"/>
          <w:sz w:val="30"/>
          <w:szCs w:val="30"/>
          <w14:textFill>
            <w14:solidFill>
              <w14:schemeClr w14:val="tx1"/>
            </w14:solidFill>
          </w14:textFill>
        </w:rPr>
      </w:pPr>
    </w:p>
    <w:tbl>
      <w:tblPr>
        <w:tblStyle w:val="4"/>
        <w:tblW w:w="0" w:type="auto"/>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2160"/>
        <w:gridCol w:w="2880"/>
      </w:tblGrid>
      <w:tr w14:paraId="694F195E">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14:paraId="2CD485B3">
            <w:pPr>
              <w:jc w:val="distribute"/>
              <w:rPr>
                <w:rFonts w:eastAsia="KaiTi_GB2312"/>
                <w:b/>
                <w:color w:val="000000" w:themeColor="text1"/>
                <w:sz w:val="30"/>
                <w:szCs w:val="30"/>
                <w14:textFill>
                  <w14:solidFill>
                    <w14:schemeClr w14:val="tx1"/>
                  </w14:solidFill>
                </w14:textFill>
              </w:rPr>
            </w:pPr>
            <w:r>
              <w:rPr>
                <w:rFonts w:hint="eastAsia" w:eastAsia="KaiTi_GB2312"/>
                <w:b/>
                <w:color w:val="000000" w:themeColor="text1"/>
                <w:sz w:val="30"/>
                <w:szCs w:val="30"/>
                <w14:textFill>
                  <w14:solidFill>
                    <w14:schemeClr w14:val="tx1"/>
                  </w14:solidFill>
                </w14:textFill>
              </w:rPr>
              <w:t>授权</w:t>
            </w:r>
            <w:r>
              <w:rPr>
                <w:rFonts w:eastAsia="KaiTi_GB2312"/>
                <w:b/>
                <w:color w:val="000000" w:themeColor="text1"/>
                <w:sz w:val="30"/>
                <w:szCs w:val="30"/>
                <w14:textFill>
                  <w14:solidFill>
                    <w14:schemeClr w14:val="tx1"/>
                  </w14:solidFill>
                </w14:textFill>
              </w:rPr>
              <w:t>学科</w:t>
            </w:r>
          </w:p>
          <w:p w14:paraId="38950BC6">
            <w:pPr>
              <w:jc w:val="distribute"/>
              <w:rPr>
                <w:rFonts w:eastAsia="KaiTi_GB2312"/>
                <w:b/>
                <w:color w:val="000000" w:themeColor="text1"/>
                <w:sz w:val="30"/>
                <w:szCs w:val="30"/>
                <w14:textFill>
                  <w14:solidFill>
                    <w14:schemeClr w14:val="tx1"/>
                  </w14:solidFill>
                </w14:textFill>
              </w:rPr>
            </w:pPr>
            <w:r>
              <w:rPr>
                <w:rFonts w:hint="eastAsia" w:eastAsia="KaiTi_GB2312"/>
                <w:b/>
                <w:color w:val="000000" w:themeColor="text1"/>
                <w:sz w:val="30"/>
                <w:szCs w:val="30"/>
                <w14:textFill>
                  <w14:solidFill>
                    <w14:schemeClr w14:val="tx1"/>
                  </w14:solidFill>
                </w14:textFill>
              </w:rPr>
              <w:t>（类别）</w:t>
            </w:r>
          </w:p>
        </w:tc>
        <w:tc>
          <w:tcPr>
            <w:tcW w:w="2880" w:type="dxa"/>
            <w:tcBorders>
              <w:bottom w:val="single" w:color="auto" w:sz="4" w:space="0"/>
            </w:tcBorders>
            <w:vAlign w:val="center"/>
          </w:tcPr>
          <w:p w14:paraId="3EC5E34E">
            <w:pPr>
              <w:rPr>
                <w:rFonts w:eastAsia="KaiTi_GB2312"/>
                <w:b/>
                <w:color w:val="000000" w:themeColor="text1"/>
                <w:sz w:val="30"/>
                <w:szCs w:val="30"/>
                <w14:textFill>
                  <w14:solidFill>
                    <w14:schemeClr w14:val="tx1"/>
                  </w14:solidFill>
                </w14:textFill>
              </w:rPr>
            </w:pPr>
            <w:r>
              <w:rPr>
                <w:rFonts w:eastAsia="KaiTi_GB2312"/>
                <w:b/>
                <w:color w:val="000000" w:themeColor="text1"/>
                <w:sz w:val="30"/>
                <w:szCs w:val="30"/>
                <w14:textFill>
                  <w14:solidFill>
                    <w14:schemeClr w14:val="tx1"/>
                  </w14:solidFill>
                </w14:textFill>
              </w:rPr>
              <w:t>名称：</w:t>
            </w:r>
            <w:r>
              <w:rPr>
                <w:rFonts w:hint="eastAsia" w:eastAsia="KaiTi_GB2312"/>
                <w:b/>
                <w:color w:val="000000" w:themeColor="text1"/>
                <w:sz w:val="30"/>
                <w:szCs w:val="30"/>
                <w14:textFill>
                  <w14:solidFill>
                    <w14:schemeClr w14:val="tx1"/>
                  </w14:solidFill>
                </w14:textFill>
              </w:rPr>
              <w:t>工商管理</w:t>
            </w:r>
          </w:p>
        </w:tc>
      </w:tr>
      <w:tr w14:paraId="6E60E3FF">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14:paraId="109091AE">
            <w:pPr>
              <w:jc w:val="center"/>
              <w:rPr>
                <w:rFonts w:eastAsia="KaiTi_GB2312"/>
                <w:b/>
                <w:color w:val="000000" w:themeColor="text1"/>
                <w:sz w:val="30"/>
                <w:szCs w:val="30"/>
                <w14:textFill>
                  <w14:solidFill>
                    <w14:schemeClr w14:val="tx1"/>
                  </w14:solidFill>
                </w14:textFill>
              </w:rPr>
            </w:pPr>
          </w:p>
        </w:tc>
        <w:tc>
          <w:tcPr>
            <w:tcW w:w="2880" w:type="dxa"/>
            <w:tcBorders>
              <w:top w:val="single" w:color="auto" w:sz="4" w:space="0"/>
            </w:tcBorders>
            <w:vAlign w:val="center"/>
          </w:tcPr>
          <w:p w14:paraId="24026AB6">
            <w:pPr>
              <w:rPr>
                <w:rFonts w:eastAsia="KaiTi_GB2312"/>
                <w:b/>
                <w:color w:val="000000" w:themeColor="text1"/>
                <w:sz w:val="30"/>
                <w:szCs w:val="30"/>
                <w14:textFill>
                  <w14:solidFill>
                    <w14:schemeClr w14:val="tx1"/>
                  </w14:solidFill>
                </w14:textFill>
              </w:rPr>
            </w:pPr>
            <w:r>
              <w:rPr>
                <w:rFonts w:eastAsia="KaiTi_GB2312"/>
                <w:b/>
                <w:color w:val="000000" w:themeColor="text1"/>
                <w:sz w:val="30"/>
                <w:szCs w:val="30"/>
                <w14:textFill>
                  <w14:solidFill>
                    <w14:schemeClr w14:val="tx1"/>
                  </w14:solidFill>
                </w14:textFill>
              </w:rPr>
              <w:t>代码：</w:t>
            </w:r>
            <w:r>
              <w:rPr>
                <w:rFonts w:hint="eastAsia" w:eastAsia="KaiTi_GB2312"/>
                <w:b/>
                <w:color w:val="000000" w:themeColor="text1"/>
                <w:sz w:val="30"/>
                <w:szCs w:val="30"/>
                <w14:textFill>
                  <w14:solidFill>
                    <w14:schemeClr w14:val="tx1"/>
                  </w14:solidFill>
                </w14:textFill>
              </w:rPr>
              <w:t>12510</w:t>
            </w:r>
          </w:p>
        </w:tc>
      </w:tr>
    </w:tbl>
    <w:p w14:paraId="6B1519B1">
      <w:pPr>
        <w:spacing w:line="720" w:lineRule="auto"/>
        <w:jc w:val="center"/>
        <w:rPr>
          <w:rFonts w:eastAsia="KaiTi_GB2312"/>
          <w:b/>
          <w:color w:val="000000" w:themeColor="text1"/>
          <w:sz w:val="30"/>
          <w:szCs w:val="30"/>
          <w14:textFill>
            <w14:solidFill>
              <w14:schemeClr w14:val="tx1"/>
            </w14:solidFill>
          </w14:textFill>
        </w:rPr>
      </w:pPr>
    </w:p>
    <w:tbl>
      <w:tblPr>
        <w:tblStyle w:val="4"/>
        <w:tblW w:w="0" w:type="auto"/>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2160"/>
        <w:gridCol w:w="2880"/>
      </w:tblGrid>
      <w:tr w14:paraId="426CC4C9">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14:paraId="55328B32">
            <w:pPr>
              <w:jc w:val="distribute"/>
              <w:rPr>
                <w:rFonts w:eastAsia="KaiTi_GB2312"/>
                <w:b/>
                <w:color w:val="000000" w:themeColor="text1"/>
                <w:sz w:val="30"/>
                <w:szCs w:val="30"/>
                <w14:textFill>
                  <w14:solidFill>
                    <w14:schemeClr w14:val="tx1"/>
                  </w14:solidFill>
                </w14:textFill>
              </w:rPr>
            </w:pPr>
            <w:r>
              <w:rPr>
                <w:rFonts w:hint="eastAsia" w:eastAsia="KaiTi_GB2312"/>
                <w:b/>
                <w:color w:val="000000" w:themeColor="text1"/>
                <w:sz w:val="30"/>
                <w:szCs w:val="30"/>
                <w14:textFill>
                  <w14:solidFill>
                    <w14:schemeClr w14:val="tx1"/>
                  </w14:solidFill>
                </w14:textFill>
              </w:rPr>
              <w:t>授权级别</w:t>
            </w:r>
          </w:p>
        </w:tc>
        <w:tc>
          <w:tcPr>
            <w:tcW w:w="2880" w:type="dxa"/>
            <w:tcBorders>
              <w:bottom w:val="single" w:color="auto" w:sz="4" w:space="0"/>
            </w:tcBorders>
            <w:vAlign w:val="center"/>
          </w:tcPr>
          <w:p w14:paraId="49AC217C">
            <w:pPr>
              <w:rPr>
                <w:rFonts w:eastAsia="KaiTi_GB2312"/>
                <w:b/>
                <w:color w:val="000000" w:themeColor="text1"/>
                <w:sz w:val="30"/>
                <w:szCs w:val="30"/>
                <w14:textFill>
                  <w14:solidFill>
                    <w14:schemeClr w14:val="tx1"/>
                  </w14:solidFill>
                </w14:textFill>
              </w:rPr>
            </w:pPr>
            <w:r>
              <w:rPr>
                <w:rFonts w:hint="eastAsia" w:eastAsia="KaiTi_GB2312"/>
                <w:b/>
                <w:color w:val="000000" w:themeColor="text1"/>
                <w:sz w:val="30"/>
                <w:szCs w:val="30"/>
                <w14:textFill>
                  <w14:solidFill>
                    <w14:schemeClr w14:val="tx1"/>
                  </w14:solidFill>
                </w14:textFill>
              </w:rPr>
              <w:t>□博士</w:t>
            </w:r>
          </w:p>
        </w:tc>
      </w:tr>
      <w:tr w14:paraId="5A4D82F3">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14:paraId="2927703B">
            <w:pPr>
              <w:jc w:val="center"/>
              <w:rPr>
                <w:rFonts w:eastAsia="KaiTi_GB2312"/>
                <w:b/>
                <w:color w:val="000000" w:themeColor="text1"/>
                <w:sz w:val="30"/>
                <w:szCs w:val="30"/>
                <w14:textFill>
                  <w14:solidFill>
                    <w14:schemeClr w14:val="tx1"/>
                  </w14:solidFill>
                </w14:textFill>
              </w:rPr>
            </w:pPr>
          </w:p>
        </w:tc>
        <w:tc>
          <w:tcPr>
            <w:tcW w:w="2880" w:type="dxa"/>
            <w:tcBorders>
              <w:top w:val="single" w:color="auto" w:sz="4" w:space="0"/>
            </w:tcBorders>
            <w:vAlign w:val="center"/>
          </w:tcPr>
          <w:p w14:paraId="05D985E2">
            <w:pPr>
              <w:rPr>
                <w:rFonts w:eastAsia="KaiTi_GB2312"/>
                <w:b/>
                <w:color w:val="000000" w:themeColor="text1"/>
                <w:sz w:val="30"/>
                <w:szCs w:val="30"/>
                <w14:textFill>
                  <w14:solidFill>
                    <w14:schemeClr w14:val="tx1"/>
                  </w14:solidFill>
                </w14:textFill>
              </w:rPr>
            </w:pPr>
            <w:r>
              <w:rPr>
                <w:rFonts w:hint="eastAsia" w:ascii="KaiTi_GB2312" w:hAnsi="KaiTi_GB2312" w:eastAsia="KaiTi_GB2312"/>
                <w:b/>
                <w:color w:val="000000" w:themeColor="text1"/>
                <w:sz w:val="30"/>
                <w:szCs w:val="30"/>
                <w14:textFill>
                  <w14:solidFill>
                    <w14:schemeClr w14:val="tx1"/>
                  </w14:solidFill>
                </w14:textFill>
              </w:rPr>
              <w:sym w:font="Wingdings 2" w:char="F052"/>
            </w:r>
            <w:r>
              <w:rPr>
                <w:rFonts w:hint="eastAsia" w:eastAsia="KaiTi_GB2312"/>
                <w:b/>
                <w:color w:val="000000" w:themeColor="text1"/>
                <w:sz w:val="30"/>
                <w:szCs w:val="30"/>
                <w14:textFill>
                  <w14:solidFill>
                    <w14:schemeClr w14:val="tx1"/>
                  </w14:solidFill>
                </w14:textFill>
              </w:rPr>
              <w:t>硕士</w:t>
            </w:r>
          </w:p>
        </w:tc>
      </w:tr>
    </w:tbl>
    <w:p w14:paraId="4A1B8068">
      <w:pPr>
        <w:spacing w:line="720" w:lineRule="auto"/>
        <w:jc w:val="center"/>
        <w:rPr>
          <w:rFonts w:eastAsia="KaiTi_GB2312"/>
          <w:b/>
          <w:color w:val="000000" w:themeColor="text1"/>
          <w:sz w:val="30"/>
          <w:szCs w:val="30"/>
          <w14:textFill>
            <w14:solidFill>
              <w14:schemeClr w14:val="tx1"/>
            </w14:solidFill>
          </w14:textFill>
        </w:rPr>
      </w:pPr>
    </w:p>
    <w:p w14:paraId="4B333F36">
      <w:pPr>
        <w:jc w:val="center"/>
        <w:rPr>
          <w:rFonts w:eastAsia="KaiTi_GB2312"/>
          <w:b/>
          <w:color w:val="000000" w:themeColor="text1"/>
          <w:sz w:val="30"/>
          <w:szCs w:val="30"/>
          <w14:textFill>
            <w14:solidFill>
              <w14:schemeClr w14:val="tx1"/>
            </w14:solidFill>
          </w14:textFill>
        </w:rPr>
      </w:pPr>
      <w:r>
        <w:rPr>
          <w:rFonts w:eastAsia="KaiTi_GB2312"/>
          <w:b/>
          <w:color w:val="000000" w:themeColor="text1"/>
          <w:sz w:val="30"/>
          <w:szCs w:val="30"/>
          <w14:textFill>
            <w14:solidFill>
              <w14:schemeClr w14:val="tx1"/>
            </w14:solidFill>
          </w14:textFill>
        </w:rPr>
        <w:t>202</w:t>
      </w:r>
      <w:r>
        <w:rPr>
          <w:rFonts w:hint="eastAsia" w:eastAsia="KaiTi_GB2312"/>
          <w:b/>
          <w:color w:val="000000" w:themeColor="text1"/>
          <w:sz w:val="30"/>
          <w:szCs w:val="30"/>
          <w14:textFill>
            <w14:solidFill>
              <w14:schemeClr w14:val="tx1"/>
            </w14:solidFill>
          </w14:textFill>
        </w:rPr>
        <w:t>4</w:t>
      </w:r>
      <w:r>
        <w:rPr>
          <w:rFonts w:eastAsia="KaiTi_GB2312"/>
          <w:b/>
          <w:color w:val="000000" w:themeColor="text1"/>
          <w:sz w:val="30"/>
          <w:szCs w:val="30"/>
          <w14:textFill>
            <w14:solidFill>
              <w14:schemeClr w14:val="tx1"/>
            </w14:solidFill>
          </w14:textFill>
        </w:rPr>
        <w:t>年3月1日</w:t>
      </w:r>
    </w:p>
    <w:p w14:paraId="025EC9FD"/>
    <w:p w14:paraId="6B47C244"/>
    <w:p w14:paraId="7ADBBA5D"/>
    <w:p w14:paraId="5754531C">
      <w:pPr>
        <w:numPr>
          <w:ilvl w:val="0"/>
          <w:numId w:val="1"/>
        </w:numPr>
        <w:rPr>
          <w:rStyle w:val="6"/>
          <w:rFonts w:hint="eastAsia" w:ascii="宋体" w:hAnsi="宋体" w:eastAsia="宋体" w:cs="宋体"/>
          <w:b/>
          <w:bCs w:val="0"/>
          <w:i w:val="0"/>
          <w:iCs w:val="0"/>
          <w:caps w:val="0"/>
          <w:color w:val="262626"/>
          <w:spacing w:val="0"/>
          <w:sz w:val="28"/>
          <w:szCs w:val="28"/>
          <w:shd w:val="clear" w:fill="FFFFFF"/>
        </w:rPr>
        <w:sectPr>
          <w:pgSz w:w="11906" w:h="16838"/>
          <w:pgMar w:top="1440" w:right="1800" w:bottom="1440" w:left="1800" w:header="851" w:footer="992" w:gutter="0"/>
          <w:cols w:space="425" w:num="1"/>
          <w:docGrid w:type="lines" w:linePitch="312" w:charSpace="0"/>
        </w:sectPr>
      </w:pPr>
    </w:p>
    <w:p w14:paraId="36D6D789">
      <w:pPr>
        <w:numPr>
          <w:ilvl w:val="0"/>
          <w:numId w:val="1"/>
        </w:numPr>
        <w:spacing w:line="360" w:lineRule="auto"/>
        <w:rPr>
          <w:rStyle w:val="6"/>
          <w:rFonts w:hint="eastAsia" w:ascii="宋体" w:hAnsi="宋体" w:eastAsia="宋体" w:cs="宋体"/>
          <w:b/>
          <w:bCs w:val="0"/>
          <w:i w:val="0"/>
          <w:iCs w:val="0"/>
          <w:caps w:val="0"/>
          <w:color w:val="262626"/>
          <w:spacing w:val="0"/>
          <w:sz w:val="28"/>
          <w:szCs w:val="28"/>
          <w:shd w:val="clear" w:fill="FFFFFF"/>
        </w:rPr>
      </w:pPr>
      <w:r>
        <w:rPr>
          <w:rStyle w:val="6"/>
          <w:rFonts w:hint="eastAsia" w:ascii="宋体" w:hAnsi="宋体" w:eastAsia="宋体" w:cs="宋体"/>
          <w:b/>
          <w:bCs w:val="0"/>
          <w:i w:val="0"/>
          <w:iCs w:val="0"/>
          <w:caps w:val="0"/>
          <w:color w:val="262626"/>
          <w:spacing w:val="0"/>
          <w:sz w:val="28"/>
          <w:szCs w:val="28"/>
          <w:shd w:val="clear" w:fill="FFFFFF"/>
        </w:rPr>
        <w:t>学位授权点基本情况</w:t>
      </w:r>
    </w:p>
    <w:p w14:paraId="3A8DF24E">
      <w:pPr>
        <w:autoSpaceDE w:val="0"/>
        <w:autoSpaceDN w:val="0"/>
        <w:adjustRightInd w:val="0"/>
        <w:spacing w:line="360" w:lineRule="auto"/>
        <w:ind w:firstLine="480" w:firstLineChars="200"/>
        <w:rPr>
          <w:rFonts w:cs="宋体" w:asciiTheme="minorEastAsia" w:hAnsiTheme="minorEastAsia" w:eastAsiaTheme="minorEastAsia"/>
          <w:color w:val="000000" w:themeColor="text1"/>
          <w:kern w:val="0"/>
          <w:sz w:val="24"/>
          <w:szCs w:val="24"/>
          <w:lang w:val="zh-CN"/>
          <w14:textFill>
            <w14:solidFill>
              <w14:schemeClr w14:val="tx1"/>
            </w14:solidFill>
          </w14:textFill>
        </w:rPr>
      </w:pPr>
      <w:r>
        <w:rPr>
          <w:rFonts w:hint="eastAsia" w:cs="宋体" w:asciiTheme="minorEastAsia" w:hAnsiTheme="minorEastAsia" w:eastAsiaTheme="minorEastAsia"/>
          <w:color w:val="000000" w:themeColor="text1"/>
          <w:sz w:val="24"/>
          <w:szCs w:val="24"/>
          <w14:textFill>
            <w14:solidFill>
              <w14:schemeClr w14:val="tx1"/>
            </w14:solidFill>
          </w14:textFill>
        </w:rPr>
        <w:t>“始有暨南，便有商科”。早在</w:t>
      </w:r>
      <w:r>
        <w:rPr>
          <w:rFonts w:cs="宋体" w:asciiTheme="minorEastAsia" w:hAnsiTheme="minorEastAsia" w:eastAsiaTheme="minorEastAsia"/>
          <w:color w:val="000000" w:themeColor="text1"/>
          <w:sz w:val="24"/>
          <w:szCs w:val="24"/>
          <w14:textFill>
            <w14:solidFill>
              <w14:schemeClr w14:val="tx1"/>
            </w14:solidFill>
          </w14:textFill>
        </w:rPr>
        <w:t>1918</w:t>
      </w:r>
      <w:r>
        <w:rPr>
          <w:rFonts w:hint="eastAsia" w:cs="宋体" w:asciiTheme="minorEastAsia" w:hAnsiTheme="minorEastAsia" w:eastAsiaTheme="minorEastAsia"/>
          <w:color w:val="000000" w:themeColor="text1"/>
          <w:sz w:val="24"/>
          <w:szCs w:val="24"/>
          <w14:textFill>
            <w14:solidFill>
              <w14:schemeClr w14:val="tx1"/>
            </w14:solidFill>
          </w14:textFill>
        </w:rPr>
        <w:t>年，暨南先贤黄炎培先生敏锐地意识到“盖今世商战、工战，无非学战”，遂促成了学校商科的设立，</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商科教育一直为暨南大学的传统与优势。承此传统与优势，我校于</w:t>
      </w:r>
      <w:r>
        <w:rPr>
          <w:rFonts w:cs="Times New Roman" w:asciiTheme="minorEastAsia" w:hAnsiTheme="minorEastAsia" w:eastAsiaTheme="minorEastAsia"/>
          <w:color w:val="000000" w:themeColor="text1"/>
          <w:kern w:val="0"/>
          <w:sz w:val="24"/>
          <w:szCs w:val="24"/>
          <w:lang w:val="zh-CN"/>
          <w14:textFill>
            <w14:solidFill>
              <w14:schemeClr w14:val="tx1"/>
            </w14:solidFill>
          </w14:textFill>
        </w:rPr>
        <w:t>1993</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年获得工商管理硕士（</w:t>
      </w:r>
      <w:r>
        <w:rPr>
          <w:rFonts w:cs="Times New Roman" w:asciiTheme="minorEastAsia" w:hAnsiTheme="minorEastAsia" w:eastAsiaTheme="minorEastAsia"/>
          <w:color w:val="000000" w:themeColor="text1"/>
          <w:kern w:val="0"/>
          <w:sz w:val="24"/>
          <w:szCs w:val="24"/>
          <w:lang w:val="zh-CN"/>
          <w14:textFill>
            <w14:solidFill>
              <w14:schemeClr w14:val="tx1"/>
            </w14:solidFill>
          </w14:textFill>
        </w:rPr>
        <w:t>MBA</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）学位点办学权，</w:t>
      </w:r>
      <w:r>
        <w:rPr>
          <w:rFonts w:cs="Times New Roman" w:asciiTheme="minorEastAsia" w:hAnsiTheme="minorEastAsia" w:eastAsiaTheme="minorEastAsia"/>
          <w:color w:val="000000" w:themeColor="text1"/>
          <w:kern w:val="0"/>
          <w:sz w:val="24"/>
          <w:szCs w:val="24"/>
          <w:lang w:val="zh-CN"/>
          <w14:textFill>
            <w14:solidFill>
              <w14:schemeClr w14:val="tx1"/>
            </w14:solidFill>
          </w14:textFill>
        </w:rPr>
        <w:t>2002</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年获得高级管理人员工商管理硕士（</w:t>
      </w:r>
      <w:r>
        <w:rPr>
          <w:rFonts w:cs="Times New Roman" w:asciiTheme="minorEastAsia" w:hAnsiTheme="minorEastAsia" w:eastAsiaTheme="minorEastAsia"/>
          <w:color w:val="000000" w:themeColor="text1"/>
          <w:kern w:val="0"/>
          <w:sz w:val="24"/>
          <w:szCs w:val="24"/>
          <w:lang w:val="zh-CN"/>
          <w14:textFill>
            <w14:solidFill>
              <w14:schemeClr w14:val="tx1"/>
            </w14:solidFill>
          </w14:textFill>
        </w:rPr>
        <w:t>EMBA</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）试点办学权。经过</w:t>
      </w:r>
      <w:r>
        <w:rPr>
          <w:rFonts w:hint="eastAsia" w:cs="Times New Roman" w:asciiTheme="minorEastAsia" w:hAnsiTheme="minorEastAsia" w:eastAsiaTheme="minorEastAsia"/>
          <w:color w:val="000000" w:themeColor="text1"/>
          <w:kern w:val="0"/>
          <w:sz w:val="24"/>
          <w:szCs w:val="24"/>
          <w14:textFill>
            <w14:solidFill>
              <w14:schemeClr w14:val="tx1"/>
            </w14:solidFill>
          </w14:textFill>
        </w:rPr>
        <w:t>30多</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年的发展与积淀，本项目有了鲜明的特色和突出的优势。</w:t>
      </w:r>
    </w:p>
    <w:p w14:paraId="46E1EA87">
      <w:pPr>
        <w:snapToGrid w:val="0"/>
        <w:spacing w:beforeLines="50" w:line="360" w:lineRule="auto"/>
        <w:ind w:firstLine="480" w:firstLineChars="200"/>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宋体" w:asciiTheme="minorEastAsia" w:hAnsiTheme="minorEastAsia" w:eastAsiaTheme="minorEastAsia"/>
          <w:color w:val="000000" w:themeColor="text1"/>
          <w:sz w:val="24"/>
          <w:szCs w:val="24"/>
          <w14:textFill>
            <w14:solidFill>
              <w14:schemeClr w14:val="tx1"/>
            </w14:solidFill>
          </w14:textFill>
        </w:rPr>
        <w:t>我校工商管理硕士项目坚持以“华商教育</w:t>
      </w:r>
      <w:r>
        <w:rPr>
          <w:rFonts w:cs="宋体" w:asciiTheme="minorEastAsia" w:hAnsiTheme="minorEastAsia" w:eastAsiaTheme="minorEastAsia"/>
          <w:color w:val="000000" w:themeColor="text1"/>
          <w:sz w:val="24"/>
          <w:szCs w:val="24"/>
          <w14:textFill>
            <w14:solidFill>
              <w14:schemeClr w14:val="tx1"/>
            </w14:solidFill>
          </w14:textFill>
        </w:rPr>
        <w:t>+</w:t>
      </w:r>
      <w:r>
        <w:rPr>
          <w:rFonts w:hint="eastAsia" w:cs="宋体" w:asciiTheme="minorEastAsia" w:hAnsiTheme="minorEastAsia" w:eastAsiaTheme="minorEastAsia"/>
          <w:color w:val="000000" w:themeColor="text1"/>
          <w:sz w:val="24"/>
          <w:szCs w:val="24"/>
          <w14:textFill>
            <w14:solidFill>
              <w14:schemeClr w14:val="tx1"/>
            </w14:solidFill>
          </w14:textFill>
        </w:rPr>
        <w:t>实践导向”为特色，将“让管理者由优秀实现卓越”的华商教育理念贯穿于学员的学习生涯中。独创的“三三制”教学模式让学员的学习收获来自课堂教学、同学交流以及企业考察和移动课堂，这多元教学模式突破了传统课堂教学方法，将课堂教学延伸至全方位的交流平台。</w:t>
      </w:r>
    </w:p>
    <w:p w14:paraId="217F9512">
      <w:pPr>
        <w:numPr>
          <w:ilvl w:val="0"/>
          <w:numId w:val="0"/>
        </w:numPr>
        <w:spacing w:line="360" w:lineRule="auto"/>
        <w:ind w:firstLine="480" w:firstLineChars="200"/>
        <w:rPr>
          <w:rStyle w:val="6"/>
          <w:rFonts w:hint="eastAsia" w:ascii="宋体" w:hAnsi="宋体" w:eastAsia="宋体" w:cs="宋体"/>
          <w:b w:val="0"/>
          <w:bCs/>
          <w:i w:val="0"/>
          <w:iCs w:val="0"/>
          <w:caps w:val="0"/>
          <w:color w:val="262626"/>
          <w:spacing w:val="0"/>
          <w:sz w:val="24"/>
          <w:szCs w:val="24"/>
          <w:shd w:val="clear" w:fill="FFFFFF"/>
          <w:lang w:val="zh-CN"/>
        </w:rPr>
      </w:pPr>
      <w:r>
        <w:rPr>
          <w:rStyle w:val="6"/>
          <w:rFonts w:hint="eastAsia" w:ascii="宋体" w:hAnsi="宋体" w:eastAsia="宋体" w:cs="宋体"/>
          <w:b w:val="0"/>
          <w:bCs/>
          <w:i w:val="0"/>
          <w:iCs w:val="0"/>
          <w:caps w:val="0"/>
          <w:color w:val="262626"/>
          <w:spacing w:val="0"/>
          <w:sz w:val="24"/>
          <w:szCs w:val="24"/>
          <w:shd w:val="clear" w:fill="FFFFFF"/>
          <w:lang w:val="zh-CN"/>
        </w:rPr>
        <w:t>根据国家学位体系设置，本学位点依托暨南大学的广州石牌校区、深圳校区、珠海校区下设全日制MBA（英文）、非全日制MBA（</w:t>
      </w:r>
      <w:r>
        <w:rPr>
          <w:rStyle w:val="6"/>
          <w:rFonts w:hint="eastAsia" w:ascii="宋体" w:hAnsi="宋体" w:eastAsia="宋体" w:cs="宋体"/>
          <w:b w:val="0"/>
          <w:bCs/>
          <w:i w:val="0"/>
          <w:iCs w:val="0"/>
          <w:caps w:val="0"/>
          <w:color w:val="262626"/>
          <w:spacing w:val="0"/>
          <w:sz w:val="24"/>
          <w:szCs w:val="24"/>
          <w:shd w:val="clear" w:fill="FFFFFF"/>
        </w:rPr>
        <w:t>广州</w:t>
      </w:r>
      <w:r>
        <w:rPr>
          <w:rStyle w:val="6"/>
          <w:rFonts w:hint="eastAsia" w:ascii="宋体" w:hAnsi="宋体" w:eastAsia="宋体" w:cs="宋体"/>
          <w:b w:val="0"/>
          <w:bCs/>
          <w:i w:val="0"/>
          <w:iCs w:val="0"/>
          <w:caps w:val="0"/>
          <w:color w:val="262626"/>
          <w:spacing w:val="0"/>
          <w:sz w:val="24"/>
          <w:szCs w:val="24"/>
          <w:shd w:val="clear" w:fill="FFFFFF"/>
          <w:lang w:val="zh-CN"/>
        </w:rPr>
        <w:t>）、非全日制MBA（</w:t>
      </w:r>
      <w:r>
        <w:rPr>
          <w:rStyle w:val="6"/>
          <w:rFonts w:hint="eastAsia" w:ascii="宋体" w:hAnsi="宋体" w:eastAsia="宋体" w:cs="宋体"/>
          <w:b w:val="0"/>
          <w:bCs/>
          <w:i w:val="0"/>
          <w:iCs w:val="0"/>
          <w:caps w:val="0"/>
          <w:color w:val="262626"/>
          <w:spacing w:val="0"/>
          <w:sz w:val="24"/>
          <w:szCs w:val="24"/>
          <w:shd w:val="clear" w:fill="FFFFFF"/>
        </w:rPr>
        <w:t>深圳</w:t>
      </w:r>
      <w:r>
        <w:rPr>
          <w:rStyle w:val="6"/>
          <w:rFonts w:hint="eastAsia" w:ascii="宋体" w:hAnsi="宋体" w:eastAsia="宋体" w:cs="宋体"/>
          <w:b w:val="0"/>
          <w:bCs/>
          <w:i w:val="0"/>
          <w:iCs w:val="0"/>
          <w:caps w:val="0"/>
          <w:color w:val="262626"/>
          <w:spacing w:val="0"/>
          <w:sz w:val="24"/>
          <w:szCs w:val="24"/>
          <w:shd w:val="clear" w:fill="FFFFFF"/>
          <w:lang w:val="zh-CN"/>
        </w:rPr>
        <w:t>）、非全日制MBA（</w:t>
      </w:r>
      <w:r>
        <w:rPr>
          <w:rStyle w:val="6"/>
          <w:rFonts w:hint="eastAsia" w:ascii="宋体" w:hAnsi="宋体" w:eastAsia="宋体" w:cs="宋体"/>
          <w:b w:val="0"/>
          <w:bCs/>
          <w:i w:val="0"/>
          <w:iCs w:val="0"/>
          <w:caps w:val="0"/>
          <w:color w:val="262626"/>
          <w:spacing w:val="0"/>
          <w:sz w:val="24"/>
          <w:szCs w:val="24"/>
          <w:shd w:val="clear" w:fill="FFFFFF"/>
        </w:rPr>
        <w:t>珠海</w:t>
      </w:r>
      <w:r>
        <w:rPr>
          <w:rStyle w:val="6"/>
          <w:rFonts w:hint="eastAsia" w:ascii="宋体" w:hAnsi="宋体" w:eastAsia="宋体" w:cs="宋体"/>
          <w:b w:val="0"/>
          <w:bCs/>
          <w:i w:val="0"/>
          <w:iCs w:val="0"/>
          <w:caps w:val="0"/>
          <w:color w:val="262626"/>
          <w:spacing w:val="0"/>
          <w:sz w:val="24"/>
          <w:szCs w:val="24"/>
          <w:shd w:val="clear" w:fill="FFFFFF"/>
          <w:lang w:val="zh-CN"/>
        </w:rPr>
        <w:t>）、非全日制MBA（新加坡）、非全日制EMBA</w:t>
      </w:r>
      <w:r>
        <w:rPr>
          <w:rStyle w:val="6"/>
          <w:rFonts w:hint="eastAsia" w:ascii="宋体" w:hAnsi="宋体" w:eastAsia="宋体" w:cs="宋体"/>
          <w:b w:val="0"/>
          <w:bCs/>
          <w:i w:val="0"/>
          <w:iCs w:val="0"/>
          <w:caps w:val="0"/>
          <w:color w:val="262626"/>
          <w:spacing w:val="0"/>
          <w:sz w:val="24"/>
          <w:szCs w:val="24"/>
          <w:shd w:val="clear" w:fill="FFFFFF"/>
        </w:rPr>
        <w:t>六</w:t>
      </w:r>
      <w:r>
        <w:rPr>
          <w:rStyle w:val="6"/>
          <w:rFonts w:hint="eastAsia" w:ascii="宋体" w:hAnsi="宋体" w:eastAsia="宋体" w:cs="宋体"/>
          <w:b w:val="0"/>
          <w:bCs/>
          <w:i w:val="0"/>
          <w:iCs w:val="0"/>
          <w:caps w:val="0"/>
          <w:color w:val="262626"/>
          <w:spacing w:val="0"/>
          <w:sz w:val="24"/>
          <w:szCs w:val="24"/>
          <w:shd w:val="clear" w:fill="FFFFFF"/>
          <w:lang w:val="zh-CN"/>
        </w:rPr>
        <w:t>大培养方向。</w:t>
      </w:r>
    </w:p>
    <w:p w14:paraId="6862DA9B">
      <w:pPr>
        <w:numPr>
          <w:ilvl w:val="0"/>
          <w:numId w:val="0"/>
        </w:numPr>
        <w:spacing w:line="360" w:lineRule="auto"/>
        <w:ind w:firstLine="480" w:firstLineChars="200"/>
        <w:rPr>
          <w:rFonts w:hint="eastAsia" w:ascii="宋体" w:hAnsi="宋体" w:eastAsia="宋体" w:cs="宋体"/>
          <w:i w:val="0"/>
          <w:iCs w:val="0"/>
          <w:caps w:val="0"/>
          <w:color w:val="262626"/>
          <w:spacing w:val="0"/>
          <w:sz w:val="24"/>
          <w:szCs w:val="24"/>
          <w:highlight w:val="none"/>
          <w:shd w:val="clear" w:fill="FFFFFF"/>
        </w:rPr>
      </w:pPr>
      <w:r>
        <w:rPr>
          <w:rStyle w:val="6"/>
          <w:rFonts w:hint="eastAsia" w:ascii="宋体" w:hAnsi="宋体" w:eastAsia="宋体" w:cs="宋体"/>
          <w:b w:val="0"/>
          <w:bCs/>
          <w:i w:val="0"/>
          <w:iCs w:val="0"/>
          <w:caps w:val="0"/>
          <w:color w:val="262626"/>
          <w:spacing w:val="0"/>
          <w:sz w:val="24"/>
          <w:szCs w:val="24"/>
          <w:shd w:val="clear" w:fill="FFFFFF"/>
          <w:lang w:val="zh-CN"/>
        </w:rPr>
        <w:t>近年随着我院的整体办学综合实力不断提高，社会美誉度和知名度不断跃升，我院MBA报名人数屡创新高。生源第一学历毕业院校结构方面，有相当比例的学生其第一学历为985、211院校，包括北京大学等名校，平均工作年限为7-8年，平均年薪为30-40万。外招生生源结构方面的显著特点是来源国多元化。2017-2021年共录取外招生95人，来自35个国家，其中包括：埃及、澳大利亚、巴基斯坦、波兰、俄罗斯、刚果（布）、加拿大、美国、缅甸、墨西哥、日本、泰国、印度、印尼等；还有来自</w:t>
      </w:r>
      <w:r>
        <w:rPr>
          <w:rStyle w:val="6"/>
          <w:rFonts w:hint="eastAsia" w:ascii="宋体" w:hAnsi="宋体" w:cs="宋体"/>
          <w:b w:val="0"/>
          <w:bCs/>
          <w:i w:val="0"/>
          <w:iCs w:val="0"/>
          <w:caps w:val="0"/>
          <w:color w:val="262626"/>
          <w:spacing w:val="0"/>
          <w:sz w:val="24"/>
          <w:szCs w:val="24"/>
          <w:shd w:val="clear" w:fill="FFFFFF"/>
          <w:lang w:val="en-US" w:eastAsia="zh-CN"/>
        </w:rPr>
        <w:t>中国香港、</w:t>
      </w:r>
      <w:r>
        <w:rPr>
          <w:rStyle w:val="6"/>
          <w:rFonts w:hint="eastAsia" w:ascii="宋体" w:hAnsi="宋体" w:eastAsia="宋体" w:cs="宋体"/>
          <w:b w:val="0"/>
          <w:bCs/>
          <w:i w:val="0"/>
          <w:iCs w:val="0"/>
          <w:caps w:val="0"/>
          <w:color w:val="262626"/>
          <w:spacing w:val="0"/>
          <w:sz w:val="24"/>
          <w:szCs w:val="24"/>
          <w:shd w:val="clear" w:fill="FFFFFF"/>
          <w:lang w:val="zh-CN"/>
        </w:rPr>
        <w:t>中国澳门和中国台湾地区的生源。</w:t>
      </w:r>
      <w:r>
        <w:rPr>
          <w:rFonts w:hint="eastAsia" w:ascii="宋体" w:hAnsi="宋体" w:eastAsia="宋体" w:cs="宋体"/>
          <w:color w:val="000000" w:themeColor="text1"/>
          <w:kern w:val="0"/>
          <w:sz w:val="24"/>
          <w:szCs w:val="24"/>
          <w:lang w:val="zh-CN"/>
          <w14:textFill>
            <w14:solidFill>
              <w14:schemeClr w14:val="tx1"/>
            </w14:solidFill>
          </w14:textFill>
        </w:rPr>
        <w:t>EMBA生源结构凸显了行业的多样化，如“制造业”“金融地产”“商业服务”等行业具有较高比例；生源企业背景凸显湾区经济结构的多元化，如来自民营企业的学生占比最多；生源职业背景方面，生源以高层管理者居多，其中不乏行业知名人士，比如被评为“中国好人”的全国公益达人、汇龙海峡两岸青年创业基地书记张军文</w:t>
      </w:r>
      <w:r>
        <w:rPr>
          <w:rFonts w:hint="eastAsia" w:ascii="宋体" w:hAnsi="宋体" w:eastAsia="宋体" w:cs="宋体"/>
          <w:color w:val="000000" w:themeColor="text1"/>
          <w:kern w:val="0"/>
          <w:sz w:val="24"/>
          <w:szCs w:val="24"/>
          <w14:textFill>
            <w14:solidFill>
              <w14:schemeClr w14:val="tx1"/>
            </w14:solidFill>
          </w14:textFill>
        </w:rPr>
        <w:t>。</w:t>
      </w:r>
      <w:r>
        <w:rPr>
          <w:rFonts w:hint="eastAsia" w:ascii="宋体" w:hAnsi="宋体" w:eastAsia="宋体" w:cs="宋体"/>
          <w:i w:val="0"/>
          <w:iCs w:val="0"/>
          <w:caps w:val="0"/>
          <w:color w:val="262626"/>
          <w:spacing w:val="0"/>
          <w:sz w:val="24"/>
          <w:szCs w:val="24"/>
          <w:highlight w:val="none"/>
          <w:shd w:val="clear" w:fill="FFFFFF"/>
        </w:rPr>
        <w:t>目前在读</w:t>
      </w:r>
      <w:r>
        <w:rPr>
          <w:rFonts w:hint="eastAsia" w:ascii="宋体" w:hAnsi="宋体" w:eastAsia="宋体" w:cs="宋体"/>
          <w:i w:val="0"/>
          <w:iCs w:val="0"/>
          <w:caps w:val="0"/>
          <w:color w:val="262626"/>
          <w:spacing w:val="0"/>
          <w:sz w:val="24"/>
          <w:szCs w:val="24"/>
          <w:highlight w:val="none"/>
          <w:shd w:val="clear" w:fill="FFFFFF"/>
          <w:lang w:val="en-US" w:eastAsia="zh-CN"/>
        </w:rPr>
        <w:t>MBA学生1251</w:t>
      </w:r>
      <w:r>
        <w:rPr>
          <w:rFonts w:hint="eastAsia" w:ascii="宋体" w:hAnsi="宋体" w:eastAsia="宋体" w:cs="宋体"/>
          <w:i w:val="0"/>
          <w:iCs w:val="0"/>
          <w:caps w:val="0"/>
          <w:color w:val="262626"/>
          <w:spacing w:val="0"/>
          <w:sz w:val="24"/>
          <w:szCs w:val="24"/>
          <w:highlight w:val="none"/>
          <w:shd w:val="clear" w:fill="FFFFFF"/>
        </w:rPr>
        <w:t>人</w:t>
      </w:r>
      <w:r>
        <w:rPr>
          <w:rFonts w:hint="eastAsia" w:ascii="宋体" w:hAnsi="宋体" w:eastAsia="宋体" w:cs="宋体"/>
          <w:i w:val="0"/>
          <w:iCs w:val="0"/>
          <w:caps w:val="0"/>
          <w:color w:val="262626"/>
          <w:spacing w:val="0"/>
          <w:sz w:val="24"/>
          <w:szCs w:val="24"/>
          <w:highlight w:val="none"/>
          <w:shd w:val="clear" w:fill="FFFFFF"/>
          <w:lang w:eastAsia="zh-CN"/>
        </w:rPr>
        <w:t>，</w:t>
      </w:r>
      <w:r>
        <w:rPr>
          <w:rFonts w:hint="eastAsia" w:ascii="宋体" w:hAnsi="宋体" w:eastAsia="宋体" w:cs="宋体"/>
          <w:i w:val="0"/>
          <w:iCs w:val="0"/>
          <w:caps w:val="0"/>
          <w:color w:val="262626"/>
          <w:spacing w:val="0"/>
          <w:sz w:val="24"/>
          <w:szCs w:val="24"/>
          <w:highlight w:val="none"/>
          <w:shd w:val="clear" w:fill="FFFFFF"/>
          <w:lang w:val="en-US" w:eastAsia="zh-CN"/>
        </w:rPr>
        <w:t>EMBA在读学生</w:t>
      </w:r>
      <w:r>
        <w:rPr>
          <w:rFonts w:hint="eastAsia" w:ascii="宋体" w:hAnsi="宋体" w:cs="宋体"/>
          <w:i w:val="0"/>
          <w:iCs w:val="0"/>
          <w:caps w:val="0"/>
          <w:color w:val="262626"/>
          <w:spacing w:val="0"/>
          <w:sz w:val="24"/>
          <w:szCs w:val="24"/>
          <w:highlight w:val="none"/>
          <w:shd w:val="clear" w:fill="FFFFFF"/>
          <w:lang w:val="en-US" w:eastAsia="zh-CN"/>
        </w:rPr>
        <w:t>232</w:t>
      </w:r>
      <w:r>
        <w:rPr>
          <w:rFonts w:hint="eastAsia" w:ascii="宋体" w:hAnsi="宋体" w:eastAsia="宋体" w:cs="宋体"/>
          <w:i w:val="0"/>
          <w:iCs w:val="0"/>
          <w:caps w:val="0"/>
          <w:color w:val="262626"/>
          <w:spacing w:val="0"/>
          <w:sz w:val="24"/>
          <w:szCs w:val="24"/>
          <w:highlight w:val="none"/>
          <w:shd w:val="clear" w:fill="FFFFFF"/>
          <w:lang w:val="en-US" w:eastAsia="zh-CN"/>
        </w:rPr>
        <w:t>人</w:t>
      </w:r>
      <w:r>
        <w:rPr>
          <w:rFonts w:hint="eastAsia" w:ascii="宋体" w:hAnsi="宋体" w:eastAsia="宋体" w:cs="宋体"/>
          <w:i w:val="0"/>
          <w:iCs w:val="0"/>
          <w:caps w:val="0"/>
          <w:color w:val="262626"/>
          <w:spacing w:val="0"/>
          <w:sz w:val="24"/>
          <w:szCs w:val="24"/>
          <w:highlight w:val="none"/>
          <w:shd w:val="clear" w:fill="FFFFFF"/>
        </w:rPr>
        <w:t>。</w:t>
      </w:r>
      <w:r>
        <w:rPr>
          <w:rFonts w:hint="eastAsia" w:ascii="宋体" w:hAnsi="宋体" w:eastAsia="宋体" w:cs="宋体"/>
          <w:i w:val="0"/>
          <w:iCs w:val="0"/>
          <w:caps w:val="0"/>
          <w:color w:val="262626"/>
          <w:spacing w:val="0"/>
          <w:sz w:val="24"/>
          <w:szCs w:val="24"/>
          <w:highlight w:val="none"/>
          <w:shd w:val="clear" w:fill="FFFFFF"/>
          <w:lang w:val="en-US" w:eastAsia="zh-CN"/>
        </w:rPr>
        <w:t>2023</w:t>
      </w:r>
      <w:r>
        <w:rPr>
          <w:rFonts w:hint="eastAsia" w:ascii="宋体" w:hAnsi="宋体" w:eastAsia="宋体" w:cs="宋体"/>
          <w:i w:val="0"/>
          <w:iCs w:val="0"/>
          <w:caps w:val="0"/>
          <w:color w:val="262626"/>
          <w:spacing w:val="0"/>
          <w:sz w:val="24"/>
          <w:szCs w:val="24"/>
          <w:highlight w:val="none"/>
          <w:shd w:val="clear" w:fill="FFFFFF"/>
        </w:rPr>
        <w:t>年毕业人数分别为</w:t>
      </w:r>
      <w:r>
        <w:rPr>
          <w:rFonts w:hint="eastAsia" w:ascii="宋体" w:hAnsi="宋体" w:eastAsia="宋体" w:cs="宋体"/>
          <w:i w:val="0"/>
          <w:iCs w:val="0"/>
          <w:caps w:val="0"/>
          <w:color w:val="262626"/>
          <w:spacing w:val="0"/>
          <w:sz w:val="24"/>
          <w:szCs w:val="24"/>
          <w:highlight w:val="none"/>
          <w:shd w:val="clear" w:fill="FFFFFF"/>
          <w:lang w:val="en-US" w:eastAsia="zh-CN"/>
        </w:rPr>
        <w:t>246</w:t>
      </w:r>
      <w:r>
        <w:rPr>
          <w:rFonts w:hint="eastAsia" w:ascii="宋体" w:hAnsi="宋体" w:eastAsia="宋体" w:cs="宋体"/>
          <w:i w:val="0"/>
          <w:iCs w:val="0"/>
          <w:caps w:val="0"/>
          <w:color w:val="262626"/>
          <w:spacing w:val="0"/>
          <w:sz w:val="24"/>
          <w:szCs w:val="24"/>
          <w:highlight w:val="none"/>
          <w:shd w:val="clear" w:fill="FFFFFF"/>
        </w:rPr>
        <w:t>和</w:t>
      </w:r>
      <w:r>
        <w:rPr>
          <w:rFonts w:hint="eastAsia" w:ascii="宋体" w:hAnsi="宋体" w:cs="宋体"/>
          <w:i w:val="0"/>
          <w:iCs w:val="0"/>
          <w:caps w:val="0"/>
          <w:color w:val="262626"/>
          <w:spacing w:val="0"/>
          <w:sz w:val="24"/>
          <w:szCs w:val="24"/>
          <w:highlight w:val="none"/>
          <w:shd w:val="clear" w:fill="FFFFFF"/>
          <w:lang w:val="en-US" w:eastAsia="zh-CN"/>
        </w:rPr>
        <w:t>71</w:t>
      </w:r>
      <w:r>
        <w:rPr>
          <w:rFonts w:hint="eastAsia" w:ascii="宋体" w:hAnsi="宋体" w:eastAsia="宋体" w:cs="宋体"/>
          <w:i w:val="0"/>
          <w:iCs w:val="0"/>
          <w:caps w:val="0"/>
          <w:color w:val="262626"/>
          <w:spacing w:val="0"/>
          <w:sz w:val="24"/>
          <w:szCs w:val="24"/>
          <w:highlight w:val="none"/>
          <w:shd w:val="clear" w:fill="FFFFFF"/>
        </w:rPr>
        <w:t>人，且均授予了学位。</w:t>
      </w:r>
    </w:p>
    <w:p w14:paraId="59AB513E">
      <w:pPr>
        <w:numPr>
          <w:ilvl w:val="0"/>
          <w:numId w:val="0"/>
        </w:numPr>
        <w:spacing w:line="360" w:lineRule="auto"/>
        <w:ind w:firstLine="480" w:firstLineChars="200"/>
        <w:rPr>
          <w:rStyle w:val="6"/>
          <w:rFonts w:hint="eastAsia" w:ascii="宋体" w:hAnsi="宋体" w:eastAsia="宋体" w:cs="宋体"/>
          <w:b w:val="0"/>
          <w:bCs/>
          <w:i w:val="0"/>
          <w:iCs w:val="0"/>
          <w:caps w:val="0"/>
          <w:color w:val="262626"/>
          <w:spacing w:val="0"/>
          <w:sz w:val="24"/>
          <w:szCs w:val="24"/>
          <w:shd w:val="clear" w:fill="FFFFFF"/>
          <w:lang w:val="zh-CN"/>
        </w:rPr>
      </w:pPr>
      <w:r>
        <w:rPr>
          <w:rStyle w:val="6"/>
          <w:rFonts w:hint="eastAsia" w:ascii="宋体" w:hAnsi="宋体" w:eastAsia="宋体" w:cs="宋体"/>
          <w:b w:val="0"/>
          <w:bCs/>
          <w:i w:val="0"/>
          <w:iCs w:val="0"/>
          <w:caps w:val="0"/>
          <w:color w:val="262626"/>
          <w:spacing w:val="0"/>
          <w:sz w:val="24"/>
          <w:szCs w:val="24"/>
          <w:shd w:val="clear" w:fill="FFFFFF"/>
          <w:lang w:val="zh-CN"/>
        </w:rPr>
        <w:t>本学科师资力量雄厚，教学、研究和实践综合能力突出，现有管理学院有专职教师130人，拥有博士学</w:t>
      </w:r>
      <w:r>
        <w:rPr>
          <w:rStyle w:val="6"/>
          <w:rFonts w:hint="eastAsia" w:ascii="宋体" w:hAnsi="宋体" w:cs="宋体"/>
          <w:b w:val="0"/>
          <w:bCs/>
          <w:i w:val="0"/>
          <w:iCs w:val="0"/>
          <w:caps w:val="0"/>
          <w:color w:val="262626"/>
          <w:spacing w:val="0"/>
          <w:sz w:val="24"/>
          <w:szCs w:val="24"/>
          <w:shd w:val="clear" w:fill="FFFFFF"/>
          <w:lang w:val="en-US" w:eastAsia="zh-CN"/>
        </w:rPr>
        <w:t>位</w:t>
      </w:r>
      <w:r>
        <w:rPr>
          <w:rStyle w:val="6"/>
          <w:rFonts w:hint="eastAsia" w:ascii="宋体" w:hAnsi="宋体" w:eastAsia="宋体" w:cs="宋体"/>
          <w:b w:val="0"/>
          <w:bCs/>
          <w:i w:val="0"/>
          <w:iCs w:val="0"/>
          <w:caps w:val="0"/>
          <w:color w:val="262626"/>
          <w:spacing w:val="0"/>
          <w:sz w:val="24"/>
          <w:szCs w:val="24"/>
          <w:shd w:val="clear" w:fill="FFFFFF"/>
          <w:lang w:val="zh-CN"/>
        </w:rPr>
        <w:t>119人，占教师总人数的92%，其中正高48人，副高57人，博导49人，硕导55人。</w:t>
      </w:r>
    </w:p>
    <w:p w14:paraId="06F56A77">
      <w:pPr>
        <w:numPr>
          <w:ilvl w:val="0"/>
          <w:numId w:val="1"/>
        </w:numPr>
        <w:spacing w:line="360" w:lineRule="auto"/>
        <w:rPr>
          <w:rStyle w:val="6"/>
          <w:rFonts w:hint="eastAsia" w:ascii="宋体" w:hAnsi="宋体" w:eastAsia="宋体" w:cs="宋体"/>
          <w:b/>
          <w:bCs w:val="0"/>
          <w:i w:val="0"/>
          <w:iCs w:val="0"/>
          <w:caps w:val="0"/>
          <w:color w:val="262626"/>
          <w:spacing w:val="0"/>
          <w:sz w:val="28"/>
          <w:szCs w:val="28"/>
          <w:shd w:val="clear" w:fill="FFFFFF"/>
        </w:rPr>
      </w:pPr>
      <w:r>
        <w:rPr>
          <w:rStyle w:val="6"/>
          <w:rFonts w:hint="eastAsia" w:ascii="宋体" w:hAnsi="宋体" w:cs="宋体"/>
          <w:b/>
          <w:bCs w:val="0"/>
          <w:i w:val="0"/>
          <w:iCs w:val="0"/>
          <w:caps w:val="0"/>
          <w:color w:val="262626"/>
          <w:spacing w:val="0"/>
          <w:sz w:val="28"/>
          <w:szCs w:val="28"/>
          <w:shd w:val="clear" w:fill="FFFFFF"/>
          <w:lang w:val="en-US" w:eastAsia="zh-CN"/>
        </w:rPr>
        <w:t>学位点党建与思想政治教育工作</w:t>
      </w:r>
    </w:p>
    <w:p w14:paraId="3C5BD6EE">
      <w:pPr>
        <w:autoSpaceDE w:val="0"/>
        <w:autoSpaceDN w:val="0"/>
        <w:adjustRightInd w:val="0"/>
        <w:spacing w:line="360" w:lineRule="auto"/>
        <w:ind w:firstLine="480" w:firstLineChars="200"/>
        <w:rPr>
          <w:rFonts w:cs="宋体" w:asciiTheme="minorEastAsia" w:hAnsiTheme="minorEastAsia" w:eastAsiaTheme="minorEastAsia"/>
          <w:color w:val="000000" w:themeColor="text1"/>
          <w:kern w:val="0"/>
          <w:sz w:val="24"/>
          <w:szCs w:val="24"/>
          <w14:textFill>
            <w14:solidFill>
              <w14:schemeClr w14:val="tx1"/>
            </w14:solidFill>
          </w14:textFill>
        </w:rPr>
      </w:pPr>
      <w:r>
        <w:rPr>
          <w:rFonts w:hint="eastAsia" w:cs="宋体" w:asciiTheme="minorEastAsia" w:hAnsiTheme="minorEastAsia" w:eastAsiaTheme="minorEastAsia"/>
          <w:color w:val="000000" w:themeColor="text1"/>
          <w:kern w:val="0"/>
          <w:sz w:val="24"/>
          <w:szCs w:val="24"/>
          <w14:textFill>
            <w14:solidFill>
              <w14:schemeClr w14:val="tx1"/>
            </w14:solidFill>
          </w14:textFill>
        </w:rPr>
        <w:t>本学位点坚持社会主义办学方向，为中国乃至世界培养谙熟中华文化，并能驾驭世界宏观经济环境，全面掌握企业管理理论和综合素质的中高层管理人才。</w:t>
      </w:r>
    </w:p>
    <w:p w14:paraId="21FE9849">
      <w:pPr>
        <w:numPr>
          <w:ilvl w:val="0"/>
          <w:numId w:val="2"/>
        </w:numPr>
        <w:autoSpaceDE w:val="0"/>
        <w:autoSpaceDN w:val="0"/>
        <w:adjustRightInd w:val="0"/>
        <w:spacing w:line="360" w:lineRule="auto"/>
        <w:ind w:firstLine="482" w:firstLineChars="200"/>
        <w:outlineLvl w:val="2"/>
        <w:rPr>
          <w:rFonts w:cs="宋体" w:asciiTheme="minorEastAsia" w:hAnsiTheme="minorEastAsia" w:eastAsiaTheme="minorEastAsia"/>
          <w:b/>
          <w:bCs/>
          <w:color w:val="000000" w:themeColor="text1"/>
          <w:kern w:val="0"/>
          <w:sz w:val="24"/>
          <w:szCs w:val="24"/>
          <w14:textFill>
            <w14:solidFill>
              <w14:schemeClr w14:val="tx1"/>
            </w14:solidFill>
          </w14:textFill>
        </w:rPr>
      </w:pPr>
      <w:r>
        <w:rPr>
          <w:rFonts w:hint="eastAsia" w:cs="宋体" w:asciiTheme="minorEastAsia" w:hAnsiTheme="minorEastAsia" w:eastAsiaTheme="minorEastAsia"/>
          <w:b/>
          <w:bCs/>
          <w:color w:val="000000" w:themeColor="text1"/>
          <w:kern w:val="0"/>
          <w:sz w:val="24"/>
          <w:szCs w:val="24"/>
          <w14:textFill>
            <w14:solidFill>
              <w14:schemeClr w14:val="tx1"/>
            </w14:solidFill>
          </w14:textFill>
        </w:rPr>
        <w:t>课程思政与专业理论相结合</w:t>
      </w:r>
    </w:p>
    <w:p w14:paraId="6C88160E">
      <w:pPr>
        <w:autoSpaceDE w:val="0"/>
        <w:autoSpaceDN w:val="0"/>
        <w:adjustRightInd w:val="0"/>
        <w:spacing w:line="360" w:lineRule="auto"/>
        <w:ind w:firstLine="480" w:firstLineChars="200"/>
        <w:rPr>
          <w:rFonts w:cs="宋体" w:asciiTheme="minorEastAsia" w:hAnsiTheme="minorEastAsia" w:eastAsiaTheme="minorEastAsia"/>
          <w:color w:val="000000" w:themeColor="text1"/>
          <w:kern w:val="0"/>
          <w:sz w:val="24"/>
          <w:szCs w:val="24"/>
          <w14:textFill>
            <w14:solidFill>
              <w14:schemeClr w14:val="tx1"/>
            </w14:solidFill>
          </w14:textFill>
        </w:rPr>
      </w:pPr>
      <w:r>
        <w:rPr>
          <w:rFonts w:hint="eastAsia" w:cs="宋体" w:asciiTheme="minorEastAsia" w:hAnsiTheme="minorEastAsia" w:eastAsiaTheme="minorEastAsia"/>
          <w:color w:val="000000" w:themeColor="text1"/>
          <w:kern w:val="0"/>
          <w:sz w:val="24"/>
          <w:szCs w:val="24"/>
          <w14:textFill>
            <w14:solidFill>
              <w14:schemeClr w14:val="tx1"/>
            </w14:solidFill>
          </w14:textFill>
        </w:rPr>
        <w:t>本学位点通过完善培养方案和课程教学内容，将思想政治教育与专业知识进行深度融合，将中华文化与中国管理经验相融合，将企业社会责任与世界可持续发展相融合，努力提升学生思想政治理论素养，实现知和行的统一。</w:t>
      </w:r>
    </w:p>
    <w:p w14:paraId="4D484B98">
      <w:pPr>
        <w:numPr>
          <w:ilvl w:val="0"/>
          <w:numId w:val="2"/>
        </w:numPr>
        <w:autoSpaceDE w:val="0"/>
        <w:autoSpaceDN w:val="0"/>
        <w:adjustRightInd w:val="0"/>
        <w:spacing w:line="360" w:lineRule="auto"/>
        <w:ind w:left="0" w:leftChars="0" w:firstLine="482" w:firstLineChars="200"/>
        <w:outlineLvl w:val="2"/>
        <w:rPr>
          <w:rFonts w:cs="宋体" w:asciiTheme="minorEastAsia" w:hAnsiTheme="minorEastAsia" w:eastAsiaTheme="minorEastAsia"/>
          <w:b/>
          <w:bCs/>
          <w:color w:val="000000" w:themeColor="text1"/>
          <w:kern w:val="0"/>
          <w:sz w:val="24"/>
          <w:szCs w:val="24"/>
          <w14:textFill>
            <w14:solidFill>
              <w14:schemeClr w14:val="tx1"/>
            </w14:solidFill>
          </w14:textFill>
        </w:rPr>
      </w:pPr>
      <w:r>
        <w:rPr>
          <w:rFonts w:hint="eastAsia" w:cs="宋体" w:asciiTheme="minorEastAsia" w:hAnsiTheme="minorEastAsia" w:eastAsiaTheme="minorEastAsia"/>
          <w:b/>
          <w:bCs/>
          <w:color w:val="000000" w:themeColor="text1"/>
          <w:kern w:val="0"/>
          <w:sz w:val="24"/>
          <w:szCs w:val="24"/>
          <w14:textFill>
            <w14:solidFill>
              <w14:schemeClr w14:val="tx1"/>
            </w14:solidFill>
          </w14:textFill>
        </w:rPr>
        <w:t>党建活动与实践教育相结合</w:t>
      </w:r>
    </w:p>
    <w:p w14:paraId="11703015">
      <w:pPr>
        <w:autoSpaceDE w:val="0"/>
        <w:autoSpaceDN w:val="0"/>
        <w:adjustRightInd w:val="0"/>
        <w:spacing w:line="360" w:lineRule="auto"/>
        <w:ind w:firstLine="480" w:firstLineChars="200"/>
        <w:rPr>
          <w:rFonts w:cs="宋体" w:asciiTheme="minorEastAsia" w:hAnsiTheme="minorEastAsia" w:eastAsiaTheme="minorEastAsia"/>
          <w:color w:val="000000" w:themeColor="text1"/>
          <w:kern w:val="0"/>
          <w:sz w:val="24"/>
          <w:szCs w:val="24"/>
          <w:lang w:val="zh-CN"/>
          <w14:textFill>
            <w14:solidFill>
              <w14:schemeClr w14:val="tx1"/>
            </w14:solidFill>
          </w14:textFill>
        </w:rPr>
      </w:pPr>
      <w:r>
        <w:rPr>
          <w:rFonts w:hint="eastAsia" w:cs="宋体" w:asciiTheme="minorEastAsia" w:hAnsiTheme="minorEastAsia" w:eastAsiaTheme="minorEastAsia"/>
          <w:color w:val="000000" w:themeColor="text1"/>
          <w:kern w:val="0"/>
          <w:sz w:val="24"/>
          <w:szCs w:val="24"/>
          <w14:textFill>
            <w14:solidFill>
              <w14:schemeClr w14:val="tx1"/>
            </w14:solidFill>
          </w14:textFill>
        </w:rPr>
        <w:t>本学位点的思政教育结合</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MBA教育特点，将</w:t>
      </w:r>
      <w:r>
        <w:rPr>
          <w:rFonts w:hint="eastAsia" w:cs="宋体" w:asciiTheme="minorEastAsia" w:hAnsiTheme="minorEastAsia" w:eastAsiaTheme="minorEastAsia"/>
          <w:color w:val="000000" w:themeColor="text1"/>
          <w:kern w:val="0"/>
          <w:sz w:val="24"/>
          <w:szCs w:val="24"/>
          <w14:textFill>
            <w14:solidFill>
              <w14:schemeClr w14:val="tx1"/>
            </w14:solidFill>
          </w14:textFill>
        </w:rPr>
        <w:t>党史</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教育、红色文化、与实践活动相结合，</w:t>
      </w:r>
      <w:r>
        <w:rPr>
          <w:rFonts w:hint="eastAsia" w:cs="宋体" w:asciiTheme="minorEastAsia" w:hAnsiTheme="minorEastAsia" w:eastAsiaTheme="minorEastAsia"/>
          <w:color w:val="000000" w:themeColor="text1"/>
          <w:kern w:val="0"/>
          <w:sz w:val="24"/>
          <w:szCs w:val="24"/>
          <w14:textFill>
            <w14:solidFill>
              <w14:schemeClr w14:val="tx1"/>
            </w14:solidFill>
          </w14:textFill>
        </w:rPr>
        <w:t>团结凝聚港澳台侨同胞和海外侨胞，开展各项</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主题鲜明、独具特色的</w:t>
      </w:r>
      <w:r>
        <w:rPr>
          <w:rFonts w:hint="eastAsia" w:cs="宋体" w:asciiTheme="minorEastAsia" w:hAnsiTheme="minorEastAsia" w:eastAsiaTheme="minorEastAsia"/>
          <w:color w:val="000000" w:themeColor="text1"/>
          <w:kern w:val="0"/>
          <w:sz w:val="24"/>
          <w:szCs w:val="24"/>
          <w14:textFill>
            <w14:solidFill>
              <w14:schemeClr w14:val="tx1"/>
            </w14:solidFill>
          </w14:textFill>
        </w:rPr>
        <w:t>党建活动。其中，带领学生走进</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广东财经大学粤商学院学生党支部，</w:t>
      </w:r>
      <w:r>
        <w:rPr>
          <w:rFonts w:hint="eastAsia" w:cs="宋体" w:asciiTheme="minorEastAsia" w:hAnsiTheme="minorEastAsia" w:eastAsiaTheme="minorEastAsia"/>
          <w:color w:val="000000" w:themeColor="text1"/>
          <w:kern w:val="0"/>
          <w:sz w:val="24"/>
          <w:szCs w:val="24"/>
          <w14:textFill>
            <w14:solidFill>
              <w14:schemeClr w14:val="tx1"/>
            </w14:solidFill>
          </w14:textFill>
        </w:rPr>
        <w:t>号召学生校友响应佛山市高明区“童梦善圆”、广州越秀区二沙岛“蝴蝶助学·乡村学校蜕变项目·贵州山区校园改造”等公益活动。</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为同学们思想觉悟的提高、个人职业生涯的发展</w:t>
      </w:r>
      <w:r>
        <w:rPr>
          <w:rFonts w:hint="eastAsia" w:cs="宋体" w:asciiTheme="minorEastAsia" w:hAnsiTheme="minorEastAsia" w:eastAsiaTheme="minorEastAsia"/>
          <w:color w:val="000000" w:themeColor="text1"/>
          <w:kern w:val="0"/>
          <w:sz w:val="24"/>
          <w:szCs w:val="24"/>
          <w14:textFill>
            <w14:solidFill>
              <w14:schemeClr w14:val="tx1"/>
            </w14:solidFill>
          </w14:textFill>
        </w:rPr>
        <w:t>埋下红色基因的火种</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w:t>
      </w:r>
      <w:r>
        <w:rPr>
          <w:rFonts w:hint="eastAsia" w:cs="宋体" w:asciiTheme="minorEastAsia" w:hAnsiTheme="minorEastAsia" w:eastAsiaTheme="minorEastAsia"/>
          <w:color w:val="000000" w:themeColor="text1"/>
          <w:kern w:val="0"/>
          <w:sz w:val="24"/>
          <w:szCs w:val="24"/>
          <w14:textFill>
            <w14:solidFill>
              <w14:schemeClr w14:val="tx1"/>
            </w14:solidFill>
          </w14:textFill>
        </w:rPr>
        <w:t>为中华优秀传统文化的传播</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做出更大的贡献。</w:t>
      </w:r>
    </w:p>
    <w:p w14:paraId="330AA5EF">
      <w:pPr>
        <w:numPr>
          <w:ilvl w:val="0"/>
          <w:numId w:val="2"/>
        </w:numPr>
        <w:autoSpaceDE w:val="0"/>
        <w:autoSpaceDN w:val="0"/>
        <w:adjustRightInd w:val="0"/>
        <w:spacing w:line="360" w:lineRule="auto"/>
        <w:ind w:left="0" w:leftChars="0" w:firstLine="482" w:firstLineChars="200"/>
        <w:outlineLvl w:val="2"/>
        <w:rPr>
          <w:rFonts w:cs="宋体" w:asciiTheme="minorEastAsia" w:hAnsiTheme="minorEastAsia" w:eastAsiaTheme="minorEastAsia"/>
          <w:b/>
          <w:bCs/>
          <w:color w:val="000000" w:themeColor="text1"/>
          <w:kern w:val="0"/>
          <w:sz w:val="24"/>
          <w:szCs w:val="24"/>
          <w14:textFill>
            <w14:solidFill>
              <w14:schemeClr w14:val="tx1"/>
            </w14:solidFill>
          </w14:textFill>
        </w:rPr>
      </w:pPr>
      <w:r>
        <w:rPr>
          <w:rFonts w:hint="eastAsia" w:cs="宋体" w:asciiTheme="minorEastAsia" w:hAnsiTheme="minorEastAsia" w:eastAsiaTheme="minorEastAsia"/>
          <w:b/>
          <w:bCs/>
          <w:color w:val="000000" w:themeColor="text1"/>
          <w:kern w:val="0"/>
          <w:sz w:val="24"/>
          <w:szCs w:val="24"/>
          <w:lang w:val="zh-CN"/>
          <w14:textFill>
            <w14:solidFill>
              <w14:schemeClr w14:val="tx1"/>
            </w14:solidFill>
          </w14:textFill>
        </w:rPr>
        <w:t>党员先锋与名家领袖相结合</w:t>
      </w:r>
    </w:p>
    <w:p w14:paraId="729362CD">
      <w:pPr>
        <w:autoSpaceDE w:val="0"/>
        <w:autoSpaceDN w:val="0"/>
        <w:adjustRightInd w:val="0"/>
        <w:spacing w:line="360" w:lineRule="auto"/>
        <w:ind w:firstLine="480" w:firstLineChars="200"/>
        <w:rPr>
          <w:rFonts w:hint="eastAsia" w:cs="宋体" w:asciiTheme="minorEastAsia" w:hAnsiTheme="minorEastAsia" w:eastAsiaTheme="minorEastAsia"/>
          <w:color w:val="000000" w:themeColor="text1"/>
          <w:kern w:val="0"/>
          <w:sz w:val="24"/>
          <w:szCs w:val="24"/>
          <w:highlight w:val="none"/>
          <w14:textFill>
            <w14:solidFill>
              <w14:schemeClr w14:val="tx1"/>
            </w14:solidFill>
          </w14:textFill>
        </w:rPr>
      </w:pPr>
      <w:r>
        <w:rPr>
          <w:rFonts w:hint="eastAsia" w:cs="宋体" w:asciiTheme="minorEastAsia" w:hAnsiTheme="minorEastAsia" w:eastAsiaTheme="minorEastAsia"/>
          <w:color w:val="000000" w:themeColor="text1"/>
          <w:kern w:val="0"/>
          <w:sz w:val="24"/>
          <w:szCs w:val="24"/>
          <w14:textFill>
            <w14:solidFill>
              <w14:schemeClr w14:val="tx1"/>
            </w14:solidFill>
          </w14:textFill>
        </w:rPr>
        <w:t>本学位通过全方位的打造党员先锋模范效应，将思政教育融入课堂内外。带领学生</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与暨南大学工会党支部走进校友企业九毛九集团，</w:t>
      </w:r>
      <w:r>
        <w:rPr>
          <w:rFonts w:hint="eastAsia" w:cs="宋体" w:asciiTheme="minorEastAsia" w:hAnsiTheme="minorEastAsia" w:eastAsiaTheme="minorEastAsia"/>
          <w:color w:val="000000" w:themeColor="text1"/>
          <w:kern w:val="0"/>
          <w:sz w:val="24"/>
          <w:szCs w:val="24"/>
          <w14:textFill>
            <w14:solidFill>
              <w14:schemeClr w14:val="tx1"/>
            </w14:solidFill>
          </w14:textFill>
        </w:rPr>
        <w:t>与杰出校友交流学习</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w:t>
      </w:r>
      <w:r>
        <w:rPr>
          <w:rFonts w:hint="eastAsia" w:cs="宋体" w:asciiTheme="minorEastAsia" w:hAnsiTheme="minorEastAsia" w:eastAsiaTheme="minorEastAsia"/>
          <w:color w:val="000000" w:themeColor="text1"/>
          <w:kern w:val="0"/>
          <w:sz w:val="24"/>
          <w:szCs w:val="24"/>
          <w14:textFill>
            <w14:solidFill>
              <w14:schemeClr w14:val="tx1"/>
            </w14:solidFill>
          </w14:textFill>
        </w:rPr>
        <w:t>树立党员教师的模范引领作用，树立工商管理硕士党支部学习和实践的先锋模范作用等，</w:t>
      </w:r>
      <w:r>
        <w:rPr>
          <w:rFonts w:hint="eastAsia" w:cs="宋体" w:asciiTheme="minorEastAsia" w:hAnsiTheme="minorEastAsia" w:eastAsiaTheme="minorEastAsia"/>
          <w:color w:val="000000" w:themeColor="text1"/>
          <w:kern w:val="0"/>
          <w:sz w:val="24"/>
          <w:szCs w:val="24"/>
          <w:highlight w:val="none"/>
          <w14:textFill>
            <w14:solidFill>
              <w14:schemeClr w14:val="tx1"/>
            </w14:solidFill>
          </w14:textFill>
        </w:rPr>
        <w:t>其中卫海英教授</w:t>
      </w:r>
      <w:r>
        <w:rPr>
          <w:rFonts w:hint="eastAsia" w:cs="宋体" w:asciiTheme="minorEastAsia" w:hAnsiTheme="minorEastAsia" w:eastAsiaTheme="minorEastAsia"/>
          <w:color w:val="000000" w:themeColor="text1"/>
          <w:kern w:val="0"/>
          <w:sz w:val="24"/>
          <w:szCs w:val="24"/>
          <w:highlight w:val="none"/>
          <w:lang w:val="en-US" w:eastAsia="zh-CN"/>
          <w14:textFill>
            <w14:solidFill>
              <w14:schemeClr w14:val="tx1"/>
            </w14:solidFill>
          </w14:textFill>
        </w:rPr>
        <w:t>荣获</w:t>
      </w:r>
      <w:r>
        <w:rPr>
          <w:rFonts w:hint="eastAsia" w:cs="宋体" w:asciiTheme="minorEastAsia" w:hAnsiTheme="minorEastAsia" w:eastAsiaTheme="minorEastAsia"/>
          <w:color w:val="000000" w:themeColor="text1"/>
          <w:kern w:val="0"/>
          <w:sz w:val="24"/>
          <w:szCs w:val="24"/>
          <w:highlight w:val="none"/>
          <w14:textFill>
            <w14:solidFill>
              <w14:schemeClr w14:val="tx1"/>
            </w14:solidFill>
          </w14:textFill>
        </w:rPr>
        <w:t>广东省“南粤优秀教育工作者”荣誉</w:t>
      </w:r>
      <w:r>
        <w:rPr>
          <w:rFonts w:hint="eastAsia" w:cs="宋体" w:asciiTheme="minorEastAsia" w:hAnsiTheme="minorEastAsia" w:eastAsiaTheme="minorEastAsia"/>
          <w:color w:val="000000" w:themeColor="text1"/>
          <w:kern w:val="0"/>
          <w:sz w:val="24"/>
          <w:szCs w:val="24"/>
          <w:highlight w:val="none"/>
          <w:lang w:val="en-US" w:eastAsia="zh-CN"/>
          <w14:textFill>
            <w14:solidFill>
              <w14:schemeClr w14:val="tx1"/>
            </w14:solidFill>
          </w14:textFill>
        </w:rPr>
        <w:t>称号</w:t>
      </w:r>
      <w:r>
        <w:rPr>
          <w:rFonts w:hint="eastAsia" w:cs="宋体" w:asciiTheme="minorEastAsia" w:hAnsiTheme="minorEastAsia" w:eastAsiaTheme="minorEastAsia"/>
          <w:color w:val="000000" w:themeColor="text1"/>
          <w:kern w:val="0"/>
          <w:sz w:val="24"/>
          <w:szCs w:val="24"/>
          <w:highlight w:val="none"/>
          <w14:textFill>
            <w14:solidFill>
              <w14:schemeClr w14:val="tx1"/>
            </w14:solidFill>
          </w14:textFill>
        </w:rPr>
        <w:t>。</w:t>
      </w:r>
    </w:p>
    <w:p w14:paraId="016113FA">
      <w:pPr>
        <w:autoSpaceDE w:val="0"/>
        <w:autoSpaceDN w:val="0"/>
        <w:adjustRightInd w:val="0"/>
        <w:spacing w:line="360" w:lineRule="auto"/>
        <w:ind w:firstLine="480" w:firstLineChars="200"/>
        <w:rPr>
          <w:rFonts w:hint="eastAsia" w:cs="宋体" w:asciiTheme="minorEastAsia" w:hAnsiTheme="minorEastAsia" w:eastAsiaTheme="minorEastAsia"/>
          <w:color w:val="000000" w:themeColor="text1"/>
          <w:kern w:val="0"/>
          <w:sz w:val="24"/>
          <w:szCs w:val="24"/>
          <w:highlight w:val="none"/>
          <w14:textFill>
            <w14:solidFill>
              <w14:schemeClr w14:val="tx1"/>
            </w14:solidFill>
          </w14:textFill>
        </w:rPr>
      </w:pPr>
    </w:p>
    <w:p w14:paraId="2447871C">
      <w:pPr>
        <w:numPr>
          <w:ilvl w:val="0"/>
          <w:numId w:val="1"/>
        </w:numPr>
        <w:spacing w:line="360" w:lineRule="auto"/>
        <w:rPr>
          <w:rStyle w:val="6"/>
          <w:rFonts w:hint="eastAsia" w:ascii="宋体" w:hAnsi="宋体" w:eastAsia="宋体" w:cs="宋体"/>
          <w:b/>
          <w:bCs w:val="0"/>
          <w:i w:val="0"/>
          <w:iCs w:val="0"/>
          <w:caps w:val="0"/>
          <w:color w:val="262626"/>
          <w:spacing w:val="0"/>
          <w:sz w:val="28"/>
          <w:szCs w:val="28"/>
          <w:shd w:val="clear" w:fill="FFFFFF"/>
        </w:rPr>
      </w:pPr>
      <w:r>
        <w:rPr>
          <w:rFonts w:hint="eastAsia" w:ascii="宋体" w:hAnsi="宋体" w:eastAsia="宋体" w:cs="宋体"/>
          <w:b/>
          <w:bCs w:val="0"/>
          <w:i w:val="0"/>
          <w:iCs w:val="0"/>
          <w:caps w:val="0"/>
          <w:color w:val="262626"/>
          <w:spacing w:val="0"/>
          <w:sz w:val="28"/>
          <w:szCs w:val="28"/>
          <w:shd w:val="clear" w:fill="FFFFFF"/>
        </w:rPr>
        <w:t>学位点建设相关制度执行情况</w:t>
      </w:r>
    </w:p>
    <w:p w14:paraId="769F09E5">
      <w:pPr>
        <w:numPr>
          <w:ilvl w:val="0"/>
          <w:numId w:val="0"/>
        </w:numPr>
        <w:spacing w:line="360" w:lineRule="auto"/>
        <w:ind w:firstLine="480" w:firstLineChars="200"/>
        <w:rPr>
          <w:rStyle w:val="6"/>
          <w:rFonts w:hint="eastAsia" w:ascii="宋体" w:hAnsi="宋体" w:eastAsia="宋体" w:cs="宋体"/>
          <w:b w:val="0"/>
          <w:bCs/>
          <w:i w:val="0"/>
          <w:iCs w:val="0"/>
          <w:caps w:val="0"/>
          <w:color w:val="262626"/>
          <w:spacing w:val="0"/>
          <w:sz w:val="24"/>
          <w:szCs w:val="24"/>
          <w:shd w:val="clear" w:fill="FFFFFF"/>
          <w:lang w:val="zh-CN"/>
        </w:rPr>
      </w:pPr>
      <w:r>
        <w:rPr>
          <w:rStyle w:val="6"/>
          <w:rFonts w:hint="eastAsia" w:ascii="宋体" w:hAnsi="宋体" w:eastAsia="宋体" w:cs="宋体"/>
          <w:b w:val="0"/>
          <w:bCs/>
          <w:i w:val="0"/>
          <w:iCs w:val="0"/>
          <w:caps w:val="0"/>
          <w:color w:val="262626"/>
          <w:spacing w:val="0"/>
          <w:sz w:val="24"/>
          <w:szCs w:val="24"/>
          <w:shd w:val="clear" w:fill="FFFFFF"/>
          <w:lang w:val="zh-CN"/>
        </w:rPr>
        <w:t>本学位点积极探索建立研究生培养制度，旨在保障学生培养质量，提升培养成效及影响力。根据研究生培养制度，狠抓落实，重点开展了如下四个方面的工作：</w:t>
      </w:r>
    </w:p>
    <w:p w14:paraId="36E37E7C">
      <w:pPr>
        <w:numPr>
          <w:ilvl w:val="0"/>
          <w:numId w:val="3"/>
        </w:numPr>
        <w:spacing w:line="360" w:lineRule="auto"/>
        <w:ind w:firstLine="482" w:firstLineChars="200"/>
        <w:rPr>
          <w:rStyle w:val="6"/>
          <w:rFonts w:hint="eastAsia" w:ascii="宋体" w:hAnsi="宋体" w:eastAsia="宋体" w:cs="宋体"/>
          <w:b/>
          <w:bCs w:val="0"/>
          <w:i w:val="0"/>
          <w:iCs w:val="0"/>
          <w:caps w:val="0"/>
          <w:color w:val="262626"/>
          <w:spacing w:val="0"/>
          <w:sz w:val="24"/>
          <w:szCs w:val="24"/>
          <w:shd w:val="clear" w:fill="FFFFFF"/>
          <w:lang w:val="zh-CN"/>
        </w:rPr>
      </w:pPr>
      <w:r>
        <w:rPr>
          <w:rStyle w:val="6"/>
          <w:rFonts w:hint="eastAsia" w:ascii="宋体" w:hAnsi="宋体" w:cs="宋体"/>
          <w:b/>
          <w:bCs w:val="0"/>
          <w:i w:val="0"/>
          <w:iCs w:val="0"/>
          <w:caps w:val="0"/>
          <w:color w:val="262626"/>
          <w:spacing w:val="0"/>
          <w:sz w:val="24"/>
          <w:szCs w:val="24"/>
          <w:shd w:val="clear" w:fill="FFFFFF"/>
          <w:lang w:val="en-US" w:eastAsia="zh-CN"/>
        </w:rPr>
        <w:t>人才培养</w:t>
      </w:r>
    </w:p>
    <w:p w14:paraId="40D97316">
      <w:pPr>
        <w:pStyle w:val="8"/>
        <w:spacing w:line="360" w:lineRule="auto"/>
        <w:ind w:firstLine="562"/>
        <w:outlineLvl w:val="2"/>
        <w:rPr>
          <w:rStyle w:val="6"/>
          <w:rFonts w:hint="eastAsia" w:ascii="宋体" w:hAnsi="宋体" w:eastAsia="宋体" w:cs="宋体"/>
          <w:b w:val="0"/>
          <w:bCs/>
          <w:i w:val="0"/>
          <w:iCs w:val="0"/>
          <w:caps w:val="0"/>
          <w:color w:val="262626"/>
          <w:spacing w:val="0"/>
          <w:sz w:val="24"/>
          <w:szCs w:val="24"/>
          <w:shd w:val="clear" w:fill="FFFFFF"/>
          <w:lang w:val="zh-CN"/>
        </w:rPr>
      </w:pPr>
      <w:r>
        <w:rPr>
          <w:rStyle w:val="6"/>
          <w:rFonts w:hint="eastAsia" w:ascii="宋体" w:hAnsi="宋体" w:eastAsia="宋体" w:cs="宋体"/>
          <w:b w:val="0"/>
          <w:bCs/>
          <w:i w:val="0"/>
          <w:iCs w:val="0"/>
          <w:caps w:val="0"/>
          <w:color w:val="262626"/>
          <w:spacing w:val="0"/>
          <w:sz w:val="24"/>
          <w:szCs w:val="24"/>
          <w:shd w:val="clear" w:fill="FFFFFF"/>
          <w:lang w:val="zh-CN"/>
        </w:rPr>
        <w:t>本学位点开设的核心课程有着完善的课程教学质量保证体系，从培养方案优化、教师遴选与培养、教学评估与反馈等三个方面建构相应机制，</w:t>
      </w:r>
      <w:r>
        <w:rPr>
          <w:rStyle w:val="6"/>
          <w:rFonts w:hint="eastAsia" w:ascii="宋体" w:hAnsi="宋体" w:cs="宋体"/>
          <w:b w:val="0"/>
          <w:bCs/>
          <w:i w:val="0"/>
          <w:iCs w:val="0"/>
          <w:caps w:val="0"/>
          <w:color w:val="262626"/>
          <w:spacing w:val="0"/>
          <w:sz w:val="24"/>
          <w:szCs w:val="24"/>
          <w:shd w:val="clear" w:fill="FFFFFF"/>
          <w:lang w:val="en-US" w:eastAsia="zh-CN"/>
        </w:rPr>
        <w:t>从</w:t>
      </w:r>
      <w:r>
        <w:rPr>
          <w:rFonts w:hint="eastAsia" w:cs="宋体" w:asciiTheme="minorEastAsia" w:hAnsiTheme="minorEastAsia" w:eastAsiaTheme="minorEastAsia"/>
          <w:b w:val="0"/>
          <w:bCs w:val="0"/>
          <w:color w:val="000000" w:themeColor="text1"/>
          <w:sz w:val="24"/>
          <w:szCs w:val="24"/>
          <w14:textFill>
            <w14:solidFill>
              <w14:schemeClr w14:val="tx1"/>
            </w14:solidFill>
          </w14:textFill>
        </w:rPr>
        <w:t>课程研发</w:t>
      </w:r>
      <w:r>
        <w:rPr>
          <w:rFonts w:hint="eastAsia" w:cs="宋体" w:asciiTheme="minorEastAsia" w:hAnsiTheme="minorEastAsia" w:eastAsiaTheme="minorEastAsia"/>
          <w:b w:val="0"/>
          <w:bCs w:val="0"/>
          <w:color w:val="000000" w:themeColor="text1"/>
          <w:sz w:val="24"/>
          <w:szCs w:val="24"/>
          <w:lang w:eastAsia="zh-CN"/>
          <w14:textFill>
            <w14:solidFill>
              <w14:schemeClr w14:val="tx1"/>
            </w14:solidFill>
          </w14:textFill>
        </w:rPr>
        <w:t>、</w:t>
      </w:r>
      <w:r>
        <w:rPr>
          <w:rFonts w:hint="eastAsia" w:cs="宋体" w:asciiTheme="minorEastAsia" w:hAnsiTheme="minorEastAsia" w:eastAsiaTheme="minorEastAsia"/>
          <w:b w:val="0"/>
          <w:bCs w:val="0"/>
          <w:color w:val="000000" w:themeColor="text1"/>
          <w:sz w:val="24"/>
          <w:szCs w:val="24"/>
          <w14:textFill>
            <w14:solidFill>
              <w14:schemeClr w14:val="tx1"/>
            </w14:solidFill>
          </w14:textFill>
        </w:rPr>
        <w:t>师资队伍</w:t>
      </w:r>
      <w:r>
        <w:rPr>
          <w:rFonts w:hint="eastAsia" w:cs="宋体" w:asciiTheme="minorEastAsia" w:hAnsiTheme="minorEastAsia" w:eastAsiaTheme="minorEastAsia"/>
          <w:b w:val="0"/>
          <w:bCs w:val="0"/>
          <w:color w:val="000000" w:themeColor="text1"/>
          <w:sz w:val="24"/>
          <w:szCs w:val="24"/>
          <w:lang w:val="en-US" w:eastAsia="zh-CN"/>
          <w14:textFill>
            <w14:solidFill>
              <w14:schemeClr w14:val="tx1"/>
            </w14:solidFill>
          </w14:textFill>
        </w:rPr>
        <w:t>建设</w:t>
      </w:r>
      <w:r>
        <w:rPr>
          <w:rFonts w:hint="eastAsia" w:cs="宋体" w:asciiTheme="minorEastAsia" w:hAnsiTheme="minorEastAsia" w:eastAsiaTheme="minorEastAsia"/>
          <w:b w:val="0"/>
          <w:bCs w:val="0"/>
          <w:color w:val="000000" w:themeColor="text1"/>
          <w:sz w:val="24"/>
          <w:szCs w:val="24"/>
          <w:lang w:eastAsia="zh-CN"/>
          <w14:textFill>
            <w14:solidFill>
              <w14:schemeClr w14:val="tx1"/>
            </w14:solidFill>
          </w14:textFill>
        </w:rPr>
        <w:t>、</w:t>
      </w:r>
      <w:r>
        <w:rPr>
          <w:rFonts w:hint="eastAsia" w:cs="宋体" w:asciiTheme="minorEastAsia" w:hAnsiTheme="minorEastAsia" w:eastAsiaTheme="minorEastAsia"/>
          <w:b w:val="0"/>
          <w:bCs w:val="0"/>
          <w:color w:val="000000" w:themeColor="text1"/>
          <w:sz w:val="24"/>
          <w:szCs w:val="24"/>
          <w14:textFill>
            <w14:solidFill>
              <w14:schemeClr w14:val="tx1"/>
            </w14:solidFill>
          </w14:textFill>
        </w:rPr>
        <w:t>课程管理</w:t>
      </w:r>
      <w:r>
        <w:rPr>
          <w:rFonts w:hint="eastAsia" w:cs="宋体" w:asciiTheme="minorEastAsia" w:hAnsiTheme="minorEastAsia" w:eastAsiaTheme="minorEastAsia"/>
          <w:b w:val="0"/>
          <w:bCs w:val="0"/>
          <w:color w:val="000000" w:themeColor="text1"/>
          <w:sz w:val="24"/>
          <w:szCs w:val="24"/>
          <w:lang w:eastAsia="zh-CN"/>
          <w14:textFill>
            <w14:solidFill>
              <w14:schemeClr w14:val="tx1"/>
            </w14:solidFill>
          </w14:textFill>
        </w:rPr>
        <w:t>、</w:t>
      </w:r>
      <w:r>
        <w:rPr>
          <w:rFonts w:hint="eastAsia" w:cs="宋体" w:asciiTheme="minorEastAsia" w:hAnsiTheme="minorEastAsia" w:eastAsiaTheme="minorEastAsia"/>
          <w:b w:val="0"/>
          <w:bCs w:val="0"/>
          <w:color w:val="000000" w:themeColor="text1"/>
          <w:sz w:val="24"/>
          <w:szCs w:val="24"/>
          <w14:textFill>
            <w14:solidFill>
              <w14:schemeClr w14:val="tx1"/>
            </w14:solidFill>
          </w14:textFill>
        </w:rPr>
        <w:t>质量评估</w:t>
      </w:r>
      <w:r>
        <w:rPr>
          <w:rFonts w:hint="eastAsia" w:cs="宋体" w:asciiTheme="minorEastAsia" w:hAnsiTheme="minorEastAsia" w:eastAsiaTheme="minorEastAsia"/>
          <w:b w:val="0"/>
          <w:bCs w:val="0"/>
          <w:color w:val="000000" w:themeColor="text1"/>
          <w:sz w:val="24"/>
          <w:szCs w:val="24"/>
          <w:lang w:eastAsia="zh-CN"/>
          <w14:textFill>
            <w14:solidFill>
              <w14:schemeClr w14:val="tx1"/>
            </w14:solidFill>
          </w14:textFill>
        </w:rPr>
        <w:t>、</w:t>
      </w:r>
      <w:r>
        <w:rPr>
          <w:rFonts w:hint="eastAsia" w:cs="宋体" w:asciiTheme="minorEastAsia" w:hAnsiTheme="minorEastAsia" w:eastAsiaTheme="minorEastAsia"/>
          <w:b w:val="0"/>
          <w:bCs w:val="0"/>
          <w:color w:val="000000" w:themeColor="text1"/>
          <w:sz w:val="24"/>
          <w:szCs w:val="24"/>
          <w14:textFill>
            <w14:solidFill>
              <w14:schemeClr w14:val="tx1"/>
            </w14:solidFill>
          </w14:textFill>
        </w:rPr>
        <w:t>质量反馈</w:t>
      </w:r>
      <w:r>
        <w:rPr>
          <w:rFonts w:hint="eastAsia" w:cs="宋体" w:asciiTheme="minorEastAsia" w:hAnsiTheme="minorEastAsia" w:eastAsiaTheme="minorEastAsia"/>
          <w:b w:val="0"/>
          <w:bCs w:val="0"/>
          <w:color w:val="000000" w:themeColor="text1"/>
          <w:sz w:val="24"/>
          <w:szCs w:val="24"/>
          <w:lang w:eastAsia="zh-CN"/>
          <w14:textFill>
            <w14:solidFill>
              <w14:schemeClr w14:val="tx1"/>
            </w14:solidFill>
          </w14:textFill>
        </w:rPr>
        <w:t>、</w:t>
      </w:r>
      <w:r>
        <w:rPr>
          <w:rFonts w:hint="eastAsia" w:cs="宋体" w:asciiTheme="minorEastAsia" w:hAnsiTheme="minorEastAsia" w:eastAsiaTheme="minorEastAsia"/>
          <w:b w:val="0"/>
          <w:bCs w:val="0"/>
          <w:color w:val="000000" w:themeColor="text1"/>
          <w:sz w:val="24"/>
          <w:szCs w:val="24"/>
          <w14:textFill>
            <w14:solidFill>
              <w14:schemeClr w14:val="tx1"/>
            </w14:solidFill>
          </w14:textFill>
        </w:rPr>
        <w:t>学风建设</w:t>
      </w:r>
      <w:r>
        <w:rPr>
          <w:rFonts w:hint="eastAsia" w:cs="宋体" w:asciiTheme="minorEastAsia" w:hAnsiTheme="minorEastAsia" w:eastAsiaTheme="minorEastAsia"/>
          <w:b w:val="0"/>
          <w:bCs w:val="0"/>
          <w:color w:val="000000" w:themeColor="text1"/>
          <w:sz w:val="24"/>
          <w:szCs w:val="24"/>
          <w:lang w:val="en-US" w:eastAsia="zh-CN"/>
          <w14:textFill>
            <w14:solidFill>
              <w14:schemeClr w14:val="tx1"/>
            </w14:solidFill>
          </w14:textFill>
        </w:rPr>
        <w:t>六个方向严格要求</w:t>
      </w:r>
      <w:r>
        <w:rPr>
          <w:rFonts w:hint="eastAsia" w:cs="宋体" w:asciiTheme="minorEastAsia" w:hAnsiTheme="minorEastAsia" w:eastAsiaTheme="minorEastAsia"/>
          <w:b w:val="0"/>
          <w:bCs w:val="0"/>
          <w:color w:val="000000" w:themeColor="text1"/>
          <w:sz w:val="24"/>
          <w:szCs w:val="24"/>
          <w:lang w:eastAsia="zh-CN"/>
          <w14:textFill>
            <w14:solidFill>
              <w14:schemeClr w14:val="tx1"/>
            </w14:solidFill>
          </w14:textFill>
        </w:rPr>
        <w:t>，</w:t>
      </w:r>
      <w:r>
        <w:rPr>
          <w:rStyle w:val="6"/>
          <w:rFonts w:hint="eastAsia" w:ascii="宋体" w:hAnsi="宋体" w:eastAsia="宋体" w:cs="宋体"/>
          <w:b w:val="0"/>
          <w:bCs/>
          <w:i w:val="0"/>
          <w:iCs w:val="0"/>
          <w:caps w:val="0"/>
          <w:color w:val="262626"/>
          <w:spacing w:val="0"/>
          <w:sz w:val="24"/>
          <w:szCs w:val="24"/>
          <w:shd w:val="clear" w:fill="FFFFFF"/>
          <w:lang w:val="zh-CN"/>
        </w:rPr>
        <w:t>持续改进</w:t>
      </w:r>
      <w:r>
        <w:rPr>
          <w:rStyle w:val="6"/>
          <w:rFonts w:hint="eastAsia" w:ascii="宋体" w:hAnsi="宋体" w:cs="宋体"/>
          <w:b w:val="0"/>
          <w:bCs/>
          <w:i w:val="0"/>
          <w:iCs w:val="0"/>
          <w:caps w:val="0"/>
          <w:color w:val="262626"/>
          <w:spacing w:val="0"/>
          <w:sz w:val="24"/>
          <w:szCs w:val="24"/>
          <w:shd w:val="clear" w:fill="FFFFFF"/>
          <w:lang w:val="en-US" w:eastAsia="zh-CN"/>
        </w:rPr>
        <w:t>人才培养</w:t>
      </w:r>
      <w:r>
        <w:rPr>
          <w:rStyle w:val="6"/>
          <w:rFonts w:hint="eastAsia" w:ascii="宋体" w:hAnsi="宋体" w:eastAsia="宋体" w:cs="宋体"/>
          <w:b w:val="0"/>
          <w:bCs/>
          <w:i w:val="0"/>
          <w:iCs w:val="0"/>
          <w:caps w:val="0"/>
          <w:color w:val="262626"/>
          <w:spacing w:val="0"/>
          <w:sz w:val="24"/>
          <w:szCs w:val="24"/>
          <w:shd w:val="clear" w:fill="FFFFFF"/>
          <w:lang w:val="zh-CN"/>
        </w:rPr>
        <w:t>质量。</w:t>
      </w:r>
    </w:p>
    <w:p w14:paraId="48C1917D">
      <w:pPr>
        <w:numPr>
          <w:ilvl w:val="0"/>
          <w:numId w:val="3"/>
        </w:numPr>
        <w:spacing w:line="360" w:lineRule="auto"/>
        <w:ind w:left="0" w:leftChars="0" w:firstLine="482" w:firstLineChars="200"/>
        <w:rPr>
          <w:rStyle w:val="6"/>
          <w:rFonts w:hint="default" w:ascii="宋体" w:hAnsi="宋体" w:eastAsia="宋体" w:cs="宋体"/>
          <w:b/>
          <w:bCs w:val="0"/>
          <w:i w:val="0"/>
          <w:iCs w:val="0"/>
          <w:caps w:val="0"/>
          <w:color w:val="262626"/>
          <w:spacing w:val="0"/>
          <w:sz w:val="24"/>
          <w:szCs w:val="24"/>
          <w:shd w:val="clear" w:fill="FFFFFF"/>
          <w:lang w:val="en-US" w:eastAsia="zh-CN"/>
        </w:rPr>
      </w:pPr>
      <w:r>
        <w:rPr>
          <w:rStyle w:val="6"/>
          <w:rFonts w:hint="default" w:ascii="宋体" w:hAnsi="宋体" w:eastAsia="宋体" w:cs="宋体"/>
          <w:b/>
          <w:bCs w:val="0"/>
          <w:i w:val="0"/>
          <w:iCs w:val="0"/>
          <w:caps w:val="0"/>
          <w:color w:val="262626"/>
          <w:spacing w:val="0"/>
          <w:sz w:val="24"/>
          <w:szCs w:val="24"/>
          <w:shd w:val="clear" w:fill="FFFFFF"/>
          <w:lang w:val="en-US" w:eastAsia="zh-CN"/>
        </w:rPr>
        <w:t>导师选拔培训、师德师风建设</w:t>
      </w:r>
    </w:p>
    <w:p w14:paraId="1C3293D1">
      <w:pPr>
        <w:autoSpaceDE w:val="0"/>
        <w:autoSpaceDN w:val="0"/>
        <w:adjustRightInd w:val="0"/>
        <w:spacing w:line="360" w:lineRule="auto"/>
        <w:ind w:firstLine="480" w:firstLineChars="200"/>
        <w:rPr>
          <w:rFonts w:cs="宋体" w:asciiTheme="minorEastAsia" w:hAnsiTheme="minorEastAsia" w:eastAsiaTheme="minorEastAsia"/>
          <w:color w:val="000000" w:themeColor="text1"/>
          <w:kern w:val="0"/>
          <w:sz w:val="24"/>
          <w:szCs w:val="24"/>
          <w:lang w:val="zh-CN"/>
          <w14:textFill>
            <w14:solidFill>
              <w14:schemeClr w14:val="tx1"/>
            </w14:solidFill>
          </w14:textFill>
        </w:rPr>
      </w:pP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导师是学生培养质量的重要保证，为了进一步优化工商管理硕士人才培养的质量，本学位点建立了双导师制。根据《暨南大学研究生指导教师遴选与认定办法》，MBA/EMBA论文导师根据科研水平，教学能力，实践经验等，由学校研究生院学位办统一进行遴选论文导师。现任</w:t>
      </w:r>
      <w:r>
        <w:rPr>
          <w:rFonts w:cs="Times New Roman" w:asciiTheme="minorEastAsia" w:hAnsiTheme="minorEastAsia" w:eastAsiaTheme="minorEastAsia"/>
          <w:color w:val="000000" w:themeColor="text1"/>
          <w:kern w:val="0"/>
          <w:sz w:val="24"/>
          <w:szCs w:val="24"/>
          <w:lang w:val="zh-CN"/>
          <w14:textFill>
            <w14:solidFill>
              <w14:schemeClr w14:val="tx1"/>
            </w14:solidFill>
          </w14:textFill>
        </w:rPr>
        <w:t>MBA</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论文指导教师</w:t>
      </w:r>
      <w:r>
        <w:rPr>
          <w:rFonts w:hint="eastAsia" w:cs="Times New Roman" w:asciiTheme="minorEastAsia" w:hAnsiTheme="minorEastAsia" w:eastAsiaTheme="minorEastAsia"/>
          <w:color w:val="000000" w:themeColor="text1"/>
          <w:kern w:val="0"/>
          <w:sz w:val="24"/>
          <w:szCs w:val="24"/>
          <w14:textFill>
            <w14:solidFill>
              <w14:schemeClr w14:val="tx1"/>
            </w14:solidFill>
          </w14:textFill>
        </w:rPr>
        <w:t>98</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名，</w:t>
      </w:r>
      <w:r>
        <w:rPr>
          <w:rFonts w:cs="宋体" w:asciiTheme="minorEastAsia" w:hAnsiTheme="minorEastAsia" w:eastAsiaTheme="minorEastAsia"/>
          <w:color w:val="000000" w:themeColor="text1"/>
          <w:kern w:val="0"/>
          <w:sz w:val="24"/>
          <w:szCs w:val="24"/>
          <w:lang w:val="zh-CN"/>
          <w14:textFill>
            <w14:solidFill>
              <w14:schemeClr w14:val="tx1"/>
            </w14:solidFill>
          </w14:textFill>
        </w:rPr>
        <w:t>EMBA</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论文指导教师55人，研究方向涵盖：战略管理、财务金融、市场营销、生产运作、人力资源等。</w:t>
      </w:r>
    </w:p>
    <w:p w14:paraId="0A31713A">
      <w:pPr>
        <w:autoSpaceDE w:val="0"/>
        <w:autoSpaceDN w:val="0"/>
        <w:adjustRightInd w:val="0"/>
        <w:spacing w:line="360" w:lineRule="auto"/>
        <w:ind w:firstLine="480" w:firstLineChars="200"/>
        <w:rPr>
          <w:rStyle w:val="6"/>
          <w:rFonts w:hint="default" w:ascii="宋体" w:hAnsi="宋体" w:eastAsia="宋体" w:cs="宋体"/>
          <w:b/>
          <w:bCs w:val="0"/>
          <w:i w:val="0"/>
          <w:iCs w:val="0"/>
          <w:caps w:val="0"/>
          <w:color w:val="262626"/>
          <w:spacing w:val="0"/>
          <w:sz w:val="24"/>
          <w:szCs w:val="24"/>
          <w:shd w:val="clear" w:fill="FFFFFF"/>
          <w:lang w:val="en-US" w:eastAsia="zh-CN"/>
        </w:rPr>
      </w:pP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与此同时，为进一步探索和完善MBA 教育制度，体现暨南大学MBA 教育注重实践的特点，从2008 年5月开始，暨南大学MBA推行实践导师计划。根据《暨南大学研究生校外指导教师遴选办法》，校外导师由学校研究生院学位办统一进行遴选。目前，已聘MBA实践导师</w:t>
      </w:r>
      <w:r>
        <w:rPr>
          <w:rFonts w:cs="宋体" w:asciiTheme="minorEastAsia" w:hAnsiTheme="minorEastAsia" w:eastAsiaTheme="minorEastAsia"/>
          <w:color w:val="000000" w:themeColor="text1"/>
          <w:kern w:val="0"/>
          <w:sz w:val="24"/>
          <w:szCs w:val="24"/>
          <w:lang w:val="zh-CN"/>
          <w14:textFill>
            <w14:solidFill>
              <w14:schemeClr w14:val="tx1"/>
            </w14:solidFill>
          </w14:textFill>
        </w:rPr>
        <w:t>1</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7</w:t>
      </w:r>
      <w:r>
        <w:rPr>
          <w:rFonts w:cs="宋体" w:asciiTheme="minorEastAsia" w:hAnsiTheme="minorEastAsia" w:eastAsiaTheme="minorEastAsia"/>
          <w:color w:val="000000" w:themeColor="text1"/>
          <w:kern w:val="0"/>
          <w:sz w:val="24"/>
          <w:szCs w:val="24"/>
          <w:lang w:val="zh-CN"/>
          <w14:textFill>
            <w14:solidFill>
              <w14:schemeClr w14:val="tx1"/>
            </w14:solidFill>
          </w14:textFill>
        </w:rPr>
        <w:t>2</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人，分别来自不同的行业，旨在搭建MBA 校友与在校学生的沟通平台，在校友导师对学生的指导及其与学生的互动过程中，实现人际关系网络拓展、管理经验及智慧分享，MBA学生从中获益良多。</w:t>
      </w:r>
    </w:p>
    <w:p w14:paraId="634E3F03">
      <w:pPr>
        <w:numPr>
          <w:ilvl w:val="0"/>
          <w:numId w:val="3"/>
        </w:numPr>
        <w:spacing w:line="360" w:lineRule="auto"/>
        <w:ind w:left="0" w:leftChars="0" w:firstLine="482" w:firstLineChars="200"/>
        <w:rPr>
          <w:rStyle w:val="6"/>
          <w:rFonts w:hint="default" w:ascii="宋体" w:hAnsi="宋体" w:eastAsia="宋体" w:cs="宋体"/>
          <w:b/>
          <w:bCs w:val="0"/>
          <w:i w:val="0"/>
          <w:iCs w:val="0"/>
          <w:caps w:val="0"/>
          <w:color w:val="262626"/>
          <w:spacing w:val="0"/>
          <w:sz w:val="24"/>
          <w:szCs w:val="24"/>
          <w:shd w:val="clear" w:fill="FFFFFF"/>
          <w:lang w:val="en-US" w:eastAsia="zh-CN"/>
        </w:rPr>
      </w:pPr>
      <w:r>
        <w:rPr>
          <w:rStyle w:val="6"/>
          <w:rFonts w:hint="eastAsia" w:ascii="宋体" w:hAnsi="宋体" w:cs="宋体"/>
          <w:b/>
          <w:bCs w:val="0"/>
          <w:i w:val="0"/>
          <w:iCs w:val="0"/>
          <w:caps w:val="0"/>
          <w:color w:val="262626"/>
          <w:spacing w:val="0"/>
          <w:sz w:val="24"/>
          <w:szCs w:val="24"/>
          <w:shd w:val="clear" w:fill="FFFFFF"/>
          <w:lang w:val="en-US" w:eastAsia="zh-CN"/>
        </w:rPr>
        <w:t>实践教学</w:t>
      </w:r>
    </w:p>
    <w:p w14:paraId="57270446">
      <w:pPr>
        <w:autoSpaceDE w:val="0"/>
        <w:autoSpaceDN w:val="0"/>
        <w:adjustRightInd w:val="0"/>
        <w:spacing w:line="360" w:lineRule="auto"/>
        <w:ind w:firstLine="480" w:firstLineChars="200"/>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pPr>
      <w:r>
        <w:rPr>
          <w:rFonts w:hint="eastAsia" w:cs="宋体" w:asciiTheme="minorEastAsia" w:hAnsiTheme="minorEastAsia" w:eastAsiaTheme="minorEastAsia"/>
          <w:color w:val="000000" w:themeColor="text1"/>
          <w:kern w:val="0"/>
          <w:sz w:val="24"/>
          <w:szCs w:val="24"/>
          <w14:textFill>
            <w14:solidFill>
              <w14:schemeClr w14:val="tx1"/>
            </w14:solidFill>
          </w14:textFill>
        </w:rPr>
        <w:t>本学位的MBA/EMBA教学注重教学研相结合，通过</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教育生态圈来整合教学、研究、实践、产业融合等多方要素，</w:t>
      </w:r>
      <w:r>
        <w:rPr>
          <w:rFonts w:hint="eastAsia" w:cs="宋体" w:asciiTheme="minorEastAsia" w:hAnsiTheme="minorEastAsia" w:eastAsiaTheme="minorEastAsia"/>
          <w:color w:val="000000" w:themeColor="text1"/>
          <w:kern w:val="0"/>
          <w:sz w:val="24"/>
          <w:szCs w:val="24"/>
          <w:lang w:val="en-US" w:eastAsia="zh-CN"/>
          <w14:textFill>
            <w14:solidFill>
              <w14:schemeClr w14:val="tx1"/>
            </w14:solidFill>
          </w14:textFill>
        </w:rPr>
        <w:t>通过前沿讲座拓展管理视野、实践导师引领职业发展、企业参访沙龙现场学习、校企合作拓宽培养路径、实践整合培养实践技能等方面</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为教师管理研究提供了广泛的素材和案例，也为培养学生管理实践能力搭建了相应的平台。</w:t>
      </w:r>
    </w:p>
    <w:p w14:paraId="62E5ECD7">
      <w:pPr>
        <w:numPr>
          <w:ilvl w:val="0"/>
          <w:numId w:val="3"/>
        </w:numPr>
        <w:autoSpaceDE w:val="0"/>
        <w:autoSpaceDN w:val="0"/>
        <w:adjustRightInd w:val="0"/>
        <w:spacing w:line="360" w:lineRule="auto"/>
        <w:ind w:left="0" w:leftChars="0" w:firstLine="482" w:firstLineChars="200"/>
        <w:rPr>
          <w:rFonts w:hint="default" w:cs="宋体" w:asciiTheme="minorEastAsia" w:hAnsiTheme="minorEastAsia" w:eastAsiaTheme="minorEastAsia"/>
          <w:b/>
          <w:bCs/>
          <w:color w:val="000000" w:themeColor="text1"/>
          <w:kern w:val="0"/>
          <w:sz w:val="24"/>
          <w:szCs w:val="24"/>
          <w:lang w:val="en-US" w:eastAsia="zh-CN"/>
          <w14:textFill>
            <w14:solidFill>
              <w14:schemeClr w14:val="tx1"/>
            </w14:solidFill>
          </w14:textFill>
        </w:rPr>
      </w:pPr>
      <w:r>
        <w:rPr>
          <w:rFonts w:hint="eastAsia" w:cs="宋体" w:asciiTheme="minorEastAsia" w:hAnsiTheme="minorEastAsia" w:eastAsiaTheme="minorEastAsia"/>
          <w:b/>
          <w:bCs/>
          <w:color w:val="000000" w:themeColor="text1"/>
          <w:kern w:val="0"/>
          <w:sz w:val="24"/>
          <w:szCs w:val="24"/>
          <w:lang w:val="en-US" w:eastAsia="zh-CN"/>
          <w14:textFill>
            <w14:solidFill>
              <w14:schemeClr w14:val="tx1"/>
            </w14:solidFill>
          </w14:textFill>
        </w:rPr>
        <w:t>国际交流</w:t>
      </w:r>
    </w:p>
    <w:p w14:paraId="18170D63">
      <w:pPr>
        <w:numPr>
          <w:ilvl w:val="0"/>
          <w:numId w:val="0"/>
        </w:numPr>
        <w:autoSpaceDE w:val="0"/>
        <w:autoSpaceDN w:val="0"/>
        <w:adjustRightInd w:val="0"/>
        <w:spacing w:line="360" w:lineRule="auto"/>
        <w:ind w:firstLine="480" w:firstLineChars="200"/>
        <w:rPr>
          <w:rFonts w:hint="default" w:cs="宋体" w:asciiTheme="minorEastAsia" w:hAnsiTheme="minorEastAsia" w:eastAsiaTheme="minorEastAsia"/>
          <w:b w:val="0"/>
          <w:bCs w:val="0"/>
          <w:color w:val="000000" w:themeColor="text1"/>
          <w:kern w:val="0"/>
          <w:sz w:val="24"/>
          <w:szCs w:val="24"/>
          <w:lang w:val="en-US" w:eastAsia="zh-CN"/>
          <w14:textFill>
            <w14:solidFill>
              <w14:schemeClr w14:val="tx1"/>
            </w14:solidFill>
          </w14:textFill>
        </w:rPr>
      </w:pPr>
      <w:r>
        <w:rPr>
          <w:rFonts w:hint="default" w:cs="宋体" w:asciiTheme="minorEastAsia" w:hAnsiTheme="minorEastAsia" w:eastAsiaTheme="minorEastAsia"/>
          <w:b w:val="0"/>
          <w:bCs w:val="0"/>
          <w:color w:val="000000" w:themeColor="text1"/>
          <w:kern w:val="0"/>
          <w:sz w:val="24"/>
          <w:szCs w:val="24"/>
          <w:lang w:val="en-US" w:eastAsia="zh-CN"/>
          <w14:textFill>
            <w14:solidFill>
              <w14:schemeClr w14:val="tx1"/>
            </w14:solidFill>
          </w14:textFill>
        </w:rPr>
        <w:t>MBA国际化不仅在于师资与学生的多元化，还在于多种形式的国际深度交流学习，每年学生们都有机会申请至海外合作高校开展3-6个月的免费交换学习交流。合作院校有日本名古屋商学院、法国诺曼底高等商学院、波兰波兹南经济学院、意大利萨兰托大学等。近五年，MBA共有37人次前往海外进行交流或交换学习；与此同时，全日制MBA项目每年也有来自法国、波兰、意大利等多国的交换生前来学习。</w:t>
      </w:r>
      <w:r>
        <w:rPr>
          <w:rFonts w:hint="eastAsia" w:cs="宋体" w:asciiTheme="minorEastAsia" w:hAnsiTheme="minorEastAsia" w:eastAsiaTheme="minorEastAsia"/>
          <w:b w:val="0"/>
          <w:bCs w:val="0"/>
          <w:color w:val="000000" w:themeColor="text1"/>
          <w:kern w:val="0"/>
          <w:sz w:val="24"/>
          <w:szCs w:val="24"/>
          <w:lang w:val="en-US" w:eastAsia="zh-CN"/>
          <w14:textFill>
            <w14:solidFill>
              <w14:schemeClr w14:val="tx1"/>
            </w14:solidFill>
          </w14:textFill>
        </w:rPr>
        <w:t>EMBA2023年重启海外移动课堂，共46位师生前往美国哈佛大学、耶鲁大学进行交流与学习。</w:t>
      </w:r>
      <w:r>
        <w:rPr>
          <w:rFonts w:hint="default" w:cs="宋体" w:asciiTheme="minorEastAsia" w:hAnsiTheme="minorEastAsia" w:eastAsiaTheme="minorEastAsia"/>
          <w:b w:val="0"/>
          <w:bCs w:val="0"/>
          <w:color w:val="000000" w:themeColor="text1"/>
          <w:kern w:val="0"/>
          <w:sz w:val="24"/>
          <w:szCs w:val="24"/>
          <w:lang w:val="en-US" w:eastAsia="zh-CN"/>
          <w14:textFill>
            <w14:solidFill>
              <w14:schemeClr w14:val="tx1"/>
            </w14:solidFill>
          </w14:textFill>
        </w:rPr>
        <w:t>海外学习不仅能够让学生们切实展开学术交流、学习国际一流商学院的管理知识，还能够真切的体验异域文化、提升沟通和适应能力、开拓国际视野。</w:t>
      </w:r>
    </w:p>
    <w:p w14:paraId="09005204">
      <w:pPr>
        <w:numPr>
          <w:ilvl w:val="0"/>
          <w:numId w:val="0"/>
        </w:numPr>
        <w:autoSpaceDE w:val="0"/>
        <w:autoSpaceDN w:val="0"/>
        <w:adjustRightInd w:val="0"/>
        <w:spacing w:line="360" w:lineRule="auto"/>
        <w:ind w:firstLine="480" w:firstLineChars="200"/>
        <w:rPr>
          <w:rFonts w:hint="eastAsia" w:cs="宋体" w:asciiTheme="minorEastAsia" w:hAnsiTheme="minorEastAsia" w:eastAsiaTheme="minorEastAsia"/>
          <w:b w:val="0"/>
          <w:bCs w:val="0"/>
          <w:color w:val="000000" w:themeColor="text1"/>
          <w:kern w:val="0"/>
          <w:sz w:val="24"/>
          <w:szCs w:val="24"/>
          <w:lang w:val="en-US" w:eastAsia="zh-CN"/>
          <w14:textFill>
            <w14:solidFill>
              <w14:schemeClr w14:val="tx1"/>
            </w14:solidFill>
          </w14:textFill>
        </w:rPr>
      </w:pPr>
    </w:p>
    <w:p w14:paraId="1F2597B6">
      <w:pPr>
        <w:numPr>
          <w:ilvl w:val="0"/>
          <w:numId w:val="1"/>
        </w:numPr>
        <w:spacing w:line="360" w:lineRule="auto"/>
        <w:rPr>
          <w:rStyle w:val="6"/>
          <w:rFonts w:hint="eastAsia" w:ascii="宋体" w:hAnsi="宋体" w:eastAsia="宋体" w:cs="宋体"/>
          <w:b/>
          <w:bCs w:val="0"/>
          <w:i w:val="0"/>
          <w:iCs w:val="0"/>
          <w:caps w:val="0"/>
          <w:color w:val="262626"/>
          <w:spacing w:val="0"/>
          <w:sz w:val="28"/>
          <w:szCs w:val="28"/>
          <w:shd w:val="clear" w:fill="FFFFFF"/>
        </w:rPr>
      </w:pPr>
      <w:r>
        <w:rPr>
          <w:rFonts w:hint="eastAsia" w:ascii="宋体" w:hAnsi="宋体" w:eastAsia="宋体" w:cs="宋体"/>
          <w:b/>
          <w:bCs w:val="0"/>
          <w:i w:val="0"/>
          <w:iCs w:val="0"/>
          <w:caps w:val="0"/>
          <w:color w:val="262626"/>
          <w:spacing w:val="0"/>
          <w:sz w:val="28"/>
          <w:szCs w:val="28"/>
          <w:shd w:val="clear" w:fill="FFFFFF"/>
        </w:rPr>
        <w:t>学位点年度建设取得的成效</w:t>
      </w:r>
    </w:p>
    <w:p w14:paraId="435037F4">
      <w:pPr>
        <w:numPr>
          <w:ilvl w:val="0"/>
          <w:numId w:val="4"/>
        </w:numPr>
        <w:spacing w:line="360" w:lineRule="auto"/>
        <w:ind w:left="481" w:leftChars="0" w:firstLine="0" w:firstLineChars="0"/>
        <w:rPr>
          <w:rFonts w:ascii="宋体" w:hAnsi="宋体"/>
          <w:b/>
          <w:sz w:val="24"/>
        </w:rPr>
      </w:pPr>
      <w:r>
        <w:rPr>
          <w:rFonts w:ascii="宋体" w:hAnsi="宋体"/>
          <w:b/>
          <w:sz w:val="24"/>
        </w:rPr>
        <w:t>学科</w:t>
      </w:r>
      <w:r>
        <w:rPr>
          <w:rFonts w:hint="eastAsia" w:ascii="宋体" w:hAnsi="宋体"/>
          <w:b/>
          <w:sz w:val="24"/>
        </w:rPr>
        <w:t>综合</w:t>
      </w:r>
      <w:r>
        <w:rPr>
          <w:rFonts w:ascii="宋体" w:hAnsi="宋体"/>
          <w:b/>
          <w:sz w:val="24"/>
        </w:rPr>
        <w:t>实力稳步提升</w:t>
      </w:r>
    </w:p>
    <w:p w14:paraId="715DCCF1">
      <w:pPr>
        <w:numPr>
          <w:ilvl w:val="0"/>
          <w:numId w:val="0"/>
        </w:numPr>
        <w:spacing w:line="360" w:lineRule="auto"/>
        <w:ind w:firstLine="480" w:firstLineChars="200"/>
        <w:rPr>
          <w:rFonts w:ascii="宋体" w:hAnsi="宋体"/>
          <w:b/>
          <w:sz w:val="24"/>
          <w:szCs w:val="24"/>
        </w:rPr>
      </w:pP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近年来管理学院发展更加迅猛，商科教育成就更加突出，在《福布斯》中文版中，暨南大学管理学院荣获“2014中国最具价值在职MBA项目”和“2014中国最具价值全日制MBA项目”；2020年，暨南大学华商MBA项目（SiMBA)在中国商学院教育盛典中荣获“2019年度中国商学院最具特色MBA项目奖”</w:t>
      </w:r>
      <w:r>
        <w:rPr>
          <w:rFonts w:hint="eastAsia" w:cs="宋体" w:asciiTheme="minorEastAsia" w:hAnsiTheme="minorEastAsia" w:eastAsiaTheme="minorEastAsia"/>
          <w:color w:val="000000" w:themeColor="text1"/>
          <w:kern w:val="0"/>
          <w:sz w:val="24"/>
          <w:szCs w:val="24"/>
          <w14:textFill>
            <w14:solidFill>
              <w14:schemeClr w14:val="tx1"/>
            </w14:solidFill>
          </w14:textFill>
        </w:rPr>
        <w:t>。</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2</w:t>
      </w:r>
      <w:r>
        <w:rPr>
          <w:rFonts w:cs="宋体" w:asciiTheme="minorEastAsia" w:hAnsiTheme="minorEastAsia" w:eastAsiaTheme="minorEastAsia"/>
          <w:color w:val="000000" w:themeColor="text1"/>
          <w:kern w:val="0"/>
          <w:sz w:val="24"/>
          <w:szCs w:val="24"/>
          <w:lang w:val="zh-CN"/>
          <w14:textFill>
            <w14:solidFill>
              <w14:schemeClr w14:val="tx1"/>
            </w14:solidFill>
          </w14:textFill>
        </w:rPr>
        <w:t>016</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年</w:t>
      </w:r>
      <w:r>
        <w:rPr>
          <w:rFonts w:hint="eastAsia" w:cs="宋体" w:asciiTheme="minorEastAsia" w:hAnsiTheme="minorEastAsia" w:eastAsiaTheme="minorEastAsia"/>
          <w:color w:val="000000" w:themeColor="text1"/>
          <w:kern w:val="0"/>
          <w:sz w:val="24"/>
          <w:szCs w:val="24"/>
          <w14:textFill>
            <w14:solidFill>
              <w14:schemeClr w14:val="tx1"/>
            </w14:solidFill>
          </w14:textFill>
        </w:rPr>
        <w:t>教育部学位与研究生教育发展中心全国首次专业学位水平评估</w:t>
      </w:r>
      <w:r>
        <w:rPr>
          <w:rFonts w:hint="eastAsia" w:cs="宋体" w:asciiTheme="minorEastAsia" w:hAnsiTheme="minorEastAsia" w:eastAsiaTheme="minorEastAsia"/>
          <w:b w:val="0"/>
          <w:bCs w:val="0"/>
          <w:color w:val="000000" w:themeColor="text1"/>
          <w:kern w:val="0"/>
          <w:sz w:val="24"/>
          <w:szCs w:val="24"/>
          <w14:textFill>
            <w14:solidFill>
              <w14:schemeClr w14:val="tx1"/>
            </w14:solidFill>
          </w14:textFill>
        </w:rPr>
        <w:t>暨南大学工商管理硕士学位点获得A-。</w:t>
      </w:r>
      <w:r>
        <w:rPr>
          <w:rFonts w:hint="eastAsia" w:cs="宋体" w:asciiTheme="minorEastAsia" w:hAnsiTheme="minorEastAsia" w:eastAsiaTheme="minorEastAsia"/>
          <w:b w:val="0"/>
          <w:bCs w:val="0"/>
          <w:color w:val="000000" w:themeColor="text1"/>
          <w:kern w:val="0"/>
          <w:sz w:val="24"/>
          <w:szCs w:val="24"/>
          <w:lang w:val="zh-CN"/>
          <w14:textFill>
            <w14:solidFill>
              <w14:schemeClr w14:val="tx1"/>
            </w14:solidFill>
          </w14:textFill>
        </w:rPr>
        <w:t>2020年10月15日，高等教育评价专业机构软科正式发布“2020软科中国最好学科排名”，暨南大学管理学院工商管理学科以522分的总分跻身全国一流学科（前5%），总排名升至全国第13名。2</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011年，暨南大学正式成为内地第5所通过AMBA认证的高校，</w:t>
      </w:r>
      <w:r>
        <w:rPr>
          <w:rFonts w:hint="eastAsia" w:cs="宋体" w:asciiTheme="minorEastAsia" w:hAnsiTheme="minorEastAsia" w:eastAsiaTheme="minorEastAsia"/>
          <w:color w:val="000000" w:themeColor="text1"/>
          <w:kern w:val="0"/>
          <w:sz w:val="24"/>
          <w:szCs w:val="24"/>
          <w14:textFill>
            <w14:solidFill>
              <w14:schemeClr w14:val="tx1"/>
            </w14:solidFill>
          </w14:textFill>
        </w:rPr>
        <w:t>2013年、2016年、2021年完成AMBA再次认证并在2021年顺利通过BGA国际认证。</w:t>
      </w:r>
      <w:r>
        <w:rPr>
          <w:rFonts w:hint="eastAsia" w:cs="Times New Roman" w:asciiTheme="minorEastAsia" w:hAnsiTheme="minorEastAsia" w:eastAsiaTheme="minorEastAsia"/>
          <w:color w:val="000000" w:themeColor="text1"/>
          <w:sz w:val="24"/>
          <w:szCs w:val="24"/>
          <w14:textFill>
            <w14:solidFill>
              <w14:schemeClr w14:val="tx1"/>
            </w14:solidFill>
          </w14:textFill>
        </w:rPr>
        <w:t>2022年1</w:t>
      </w:r>
      <w:r>
        <w:rPr>
          <w:rFonts w:cs="Times New Roman" w:asciiTheme="minorEastAsia" w:hAnsiTheme="minorEastAsia" w:eastAsiaTheme="minorEastAsia"/>
          <w:color w:val="000000" w:themeColor="text1"/>
          <w:sz w:val="24"/>
          <w:szCs w:val="24"/>
          <w14:textFill>
            <w14:solidFill>
              <w14:schemeClr w14:val="tx1"/>
            </w14:solidFill>
          </w14:textFill>
        </w:rPr>
        <w:t>0</w:t>
      </w:r>
      <w:r>
        <w:rPr>
          <w:rFonts w:hint="eastAsia" w:cs="Times New Roman" w:asciiTheme="minorEastAsia" w:hAnsiTheme="minorEastAsia" w:eastAsiaTheme="minorEastAsia"/>
          <w:color w:val="000000" w:themeColor="text1"/>
          <w:sz w:val="24"/>
          <w:szCs w:val="24"/>
          <w14:textFill>
            <w14:solidFill>
              <w14:schemeClr w14:val="tx1"/>
            </w14:solidFill>
          </w14:textFill>
        </w:rPr>
        <w:t>月，正式通过AACSB国际认证，认证期为5年。</w:t>
      </w:r>
    </w:p>
    <w:p w14:paraId="72FC99D1">
      <w:pPr>
        <w:numPr>
          <w:ilvl w:val="0"/>
          <w:numId w:val="4"/>
        </w:numPr>
        <w:spacing w:line="360" w:lineRule="auto"/>
        <w:ind w:left="481" w:leftChars="0" w:firstLine="0" w:firstLineChars="0"/>
        <w:rPr>
          <w:rFonts w:hint="default" w:ascii="宋体" w:hAnsi="宋体"/>
          <w:b/>
          <w:sz w:val="24"/>
          <w:lang w:val="en-US" w:eastAsia="zh-CN"/>
        </w:rPr>
      </w:pPr>
      <w:r>
        <w:rPr>
          <w:rFonts w:ascii="宋体" w:hAnsi="宋体"/>
          <w:b/>
          <w:sz w:val="24"/>
        </w:rPr>
        <w:t>师资队伍建设成绩斐然</w:t>
      </w:r>
    </w:p>
    <w:p w14:paraId="4B1F84BD">
      <w:pPr>
        <w:numPr>
          <w:ilvl w:val="0"/>
          <w:numId w:val="0"/>
        </w:numPr>
        <w:spacing w:line="360" w:lineRule="auto"/>
        <w:ind w:firstLine="480" w:firstLineChars="200"/>
        <w:rPr>
          <w:rFonts w:hint="default" w:ascii="宋体" w:hAnsi="宋体"/>
          <w:b/>
          <w:sz w:val="24"/>
          <w:lang w:val="en-US" w:eastAsia="zh-CN"/>
        </w:rPr>
      </w:pP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学院秉持“引培并举”的理念进行师资队伍建设，持续加大对中青年科研骨干的支持和投入，着力培养发展潜力大的高层次人才，逐步建立一支结构合理、育人水平高超的专业化师资队伍。我院自主培养教育部“黄大年式”教学团队1个，国家级教学团队1个，国家级课程思政示范课程、课程思政教学名师和团队1个，国家级教学名师1人，教育部重大人才项目特聘教授1人，教育部重大人才项目青年项目1人，国家自科基金优秀青年基金获得者1人，国家高层次人才特殊支持计划青年拔尖人才1人，教育部新世纪优秀人才支持计划2人，全国会计名师3人，“千百十”国家级人才1人，“千百十”省级人才2人，广东省教学名师2人，广东省优秀社会科学家1人，南粤优秀教育工作者1人，珠江学者4人，广东省优秀青年教师2人等。</w:t>
      </w:r>
    </w:p>
    <w:p w14:paraId="00FBFEB4">
      <w:pPr>
        <w:numPr>
          <w:ilvl w:val="0"/>
          <w:numId w:val="4"/>
        </w:numPr>
        <w:spacing w:line="360" w:lineRule="auto"/>
        <w:ind w:left="481" w:leftChars="0" w:firstLine="0" w:firstLineChars="0"/>
        <w:rPr>
          <w:rFonts w:hint="default" w:ascii="宋体" w:hAnsi="宋体"/>
          <w:b/>
          <w:sz w:val="24"/>
          <w:lang w:val="en-US" w:eastAsia="zh-CN"/>
        </w:rPr>
      </w:pPr>
      <w:r>
        <w:rPr>
          <w:rFonts w:ascii="宋体" w:hAnsi="宋体"/>
          <w:b/>
          <w:sz w:val="24"/>
        </w:rPr>
        <w:t>人才培养质量不断提高</w:t>
      </w:r>
    </w:p>
    <w:p w14:paraId="69E96A16">
      <w:pPr>
        <w:numPr>
          <w:ilvl w:val="0"/>
          <w:numId w:val="0"/>
        </w:numPr>
        <w:spacing w:line="360" w:lineRule="auto"/>
        <w:ind w:firstLine="480" w:firstLineChars="200"/>
        <w:rPr>
          <w:rFonts w:hint="default" w:ascii="宋体" w:hAnsi="宋体"/>
          <w:b/>
          <w:sz w:val="24"/>
          <w:lang w:val="en-US" w:eastAsia="zh-CN"/>
        </w:rPr>
      </w:pPr>
      <w:r>
        <w:rPr>
          <w:rFonts w:hint="eastAsia" w:cs="宋体" w:asciiTheme="minorEastAsia" w:hAnsiTheme="minorEastAsia" w:eastAsiaTheme="minorEastAsia"/>
          <w:color w:val="000000" w:themeColor="text1"/>
          <w:kern w:val="0"/>
          <w:sz w:val="24"/>
          <w:szCs w:val="24"/>
          <w:lang w:val="en-US" w:eastAsia="zh-CN"/>
          <w14:textFill>
            <w14:solidFill>
              <w14:schemeClr w14:val="tx1"/>
            </w14:solidFill>
          </w14:textFill>
        </w:rPr>
        <w:t>学</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位点根植于粤港澳大湾区，坚持教育为本，融合、提炼中华管理智慧，为世界培养熟谙中华文化的管理精英。近五年，MBA毕业生就业排行前四的行业分别是教育行业、房地产业、金融服务业和IT电子通讯业。学院围绕服务粤港澳大湾区产业转型升级和服务实体经济动能转换，培养适合各产业发展的管理人才，强化产教融合，拓宽学生就业渠道，推动区域实体经济枝繁叶茂。我院大部分MBA生源都来自粤港澳大湾区，MBA教育为大湾区经济发展持续培养和输送了大量高素质管理人才，服务区域发展，助力地区腾飞。其中，部分MBA学生毕业后在粤港澳区自主创业，给本区域注射了新的活力，推动了本区域经济的发展。绝大多数非全日制MBA在就读期间获得了个人提升，在毕业后就实现了职业转换、薪酬增加、职务升迁等变化。EMBA同学主要是来自各单位和企业的高层管理者。他们通过学习开阔了管理视野，增强了企业管理能力和领导力，实现了个人职业跃升。EMBA教育平台助力企业走向上市，并推动了企业的可持续发展。</w:t>
      </w:r>
    </w:p>
    <w:p w14:paraId="77F1599C">
      <w:pPr>
        <w:numPr>
          <w:ilvl w:val="0"/>
          <w:numId w:val="4"/>
        </w:numPr>
        <w:spacing w:line="360" w:lineRule="auto"/>
        <w:ind w:left="481" w:leftChars="0" w:firstLine="0" w:firstLineChars="0"/>
        <w:rPr>
          <w:rFonts w:hint="default" w:ascii="宋体" w:hAnsi="宋体"/>
          <w:b/>
          <w:sz w:val="24"/>
          <w:lang w:val="en-US" w:eastAsia="zh-CN"/>
        </w:rPr>
      </w:pPr>
      <w:r>
        <w:rPr>
          <w:rFonts w:ascii="宋体" w:hAnsi="宋体"/>
          <w:b/>
          <w:sz w:val="24"/>
        </w:rPr>
        <w:t>社会服务能力不断增强</w:t>
      </w:r>
    </w:p>
    <w:p w14:paraId="1F6E796B">
      <w:pPr>
        <w:numPr>
          <w:ilvl w:val="0"/>
          <w:numId w:val="0"/>
        </w:numPr>
        <w:spacing w:line="360" w:lineRule="auto"/>
        <w:ind w:firstLine="480" w:firstLineChars="200"/>
        <w:rPr>
          <w:rFonts w:hint="eastAsia" w:cs="宋体" w:asciiTheme="minorEastAsia" w:hAnsiTheme="minorEastAsia" w:eastAsiaTheme="minorEastAsia"/>
          <w:color w:val="000000" w:themeColor="text1"/>
          <w:kern w:val="0"/>
          <w:sz w:val="24"/>
          <w:szCs w:val="24"/>
          <w14:textFill>
            <w14:solidFill>
              <w14:schemeClr w14:val="tx1"/>
            </w14:solidFill>
          </w14:textFill>
        </w:rPr>
      </w:pP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学院MBA/EMBA教育致力于提升学生的综合管理素质和管理创新能力，不断创新办学理念，开展跨学科交叉融合，希望学生真正把专业知识转化为专业技术，把教学能力转化为实践能力。学院还举办一系列实践类品牌活动，为学生的创新创业项目提供转化平台。如M</w:t>
      </w:r>
      <w:r>
        <w:rPr>
          <w:rFonts w:cs="宋体" w:asciiTheme="minorEastAsia" w:hAnsiTheme="minorEastAsia" w:eastAsiaTheme="minorEastAsia"/>
          <w:color w:val="000000" w:themeColor="text1"/>
          <w:kern w:val="0"/>
          <w:sz w:val="24"/>
          <w:szCs w:val="24"/>
          <w:lang w:val="zh-CN"/>
          <w14:textFill>
            <w14:solidFill>
              <w14:schemeClr w14:val="tx1"/>
            </w14:solidFill>
          </w14:textFill>
        </w:rPr>
        <w:t>BA</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的P</w:t>
      </w:r>
      <w:r>
        <w:rPr>
          <w:rFonts w:cs="宋体" w:asciiTheme="minorEastAsia" w:hAnsiTheme="minorEastAsia" w:eastAsiaTheme="minorEastAsia"/>
          <w:color w:val="000000" w:themeColor="text1"/>
          <w:kern w:val="0"/>
          <w:sz w:val="24"/>
          <w:szCs w:val="24"/>
          <w:lang w:val="zh-CN"/>
          <w14:textFill>
            <w14:solidFill>
              <w14:schemeClr w14:val="tx1"/>
            </w14:solidFill>
          </w14:textFill>
        </w:rPr>
        <w:t>BL</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项目、E</w:t>
      </w:r>
      <w:r>
        <w:rPr>
          <w:rFonts w:cs="宋体" w:asciiTheme="minorEastAsia" w:hAnsiTheme="minorEastAsia" w:eastAsiaTheme="minorEastAsia"/>
          <w:color w:val="000000" w:themeColor="text1"/>
          <w:kern w:val="0"/>
          <w:sz w:val="24"/>
          <w:szCs w:val="24"/>
          <w:lang w:val="zh-CN"/>
          <w14:textFill>
            <w14:solidFill>
              <w14:schemeClr w14:val="tx1"/>
            </w14:solidFill>
          </w14:textFill>
        </w:rPr>
        <w:t>MBA</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的“E战成名”商业实战大赛等品牌活动，借助学院自身的商科优势、丰富的校友资源，充分结合理论学习和商业实践操作，使商科教育更加深度化和实效化。</w:t>
      </w:r>
      <w:r>
        <w:rPr>
          <w:rFonts w:hint="eastAsia" w:cs="宋体" w:asciiTheme="minorEastAsia" w:hAnsiTheme="minorEastAsia" w:eastAsiaTheme="minorEastAsia"/>
          <w:color w:val="000000" w:themeColor="text1"/>
          <w:kern w:val="0"/>
          <w:sz w:val="24"/>
          <w:szCs w:val="24"/>
          <w14:textFill>
            <w14:solidFill>
              <w14:schemeClr w14:val="tx1"/>
            </w14:solidFill>
          </w14:textFill>
        </w:rPr>
        <w:t>在此期间有不少企业把知识进行了成果的转化，专利呈现</w:t>
      </w:r>
      <w:r>
        <w:rPr>
          <w:rFonts w:hint="eastAsia" w:cs="宋体" w:asciiTheme="minorEastAsia" w:hAnsiTheme="minorEastAsia" w:eastAsiaTheme="minorEastAsia"/>
          <w:color w:val="000000" w:themeColor="text1"/>
          <w:kern w:val="0"/>
          <w:sz w:val="24"/>
          <w:szCs w:val="24"/>
          <w:lang w:val="en-US" w:eastAsia="zh-CN"/>
          <w14:textFill>
            <w14:solidFill>
              <w14:schemeClr w14:val="tx1"/>
            </w14:solidFill>
          </w14:textFill>
        </w:rPr>
        <w:t>层</w:t>
      </w:r>
      <w:bookmarkStart w:id="8" w:name="_GoBack"/>
      <w:bookmarkEnd w:id="8"/>
      <w:r>
        <w:rPr>
          <w:rFonts w:hint="eastAsia" w:cs="宋体" w:asciiTheme="minorEastAsia" w:hAnsiTheme="minorEastAsia" w:eastAsiaTheme="minorEastAsia"/>
          <w:color w:val="000000" w:themeColor="text1"/>
          <w:kern w:val="0"/>
          <w:sz w:val="24"/>
          <w:szCs w:val="24"/>
          <w14:textFill>
            <w14:solidFill>
              <w14:schemeClr w14:val="tx1"/>
            </w14:solidFill>
          </w14:textFill>
        </w:rPr>
        <w:t>出不穷，比如广东百源实业有限公司的厨用撕肉器以及一味调味盒设计等，充分利用《项目管理》的相关理念进行设计思考，取得非常好的社会反应。</w:t>
      </w:r>
    </w:p>
    <w:p w14:paraId="37FFD8F6">
      <w:pPr>
        <w:spacing w:line="360" w:lineRule="auto"/>
        <w:ind w:firstLine="480" w:firstLineChars="200"/>
        <w:rPr>
          <w:rFonts w:cs="宋体" w:asciiTheme="minorEastAsia" w:hAnsiTheme="minorEastAsia" w:eastAsiaTheme="minorEastAsia"/>
          <w:color w:val="000000" w:themeColor="text1"/>
          <w:kern w:val="0"/>
          <w:sz w:val="28"/>
          <w:szCs w:val="28"/>
          <w:lang w:val="zh-CN"/>
          <w14:textFill>
            <w14:solidFill>
              <w14:schemeClr w14:val="tx1"/>
            </w14:solidFill>
          </w14:textFill>
        </w:rPr>
      </w:pP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学院围绕服务粤港澳大湾区产业转型升级和服务实体经济动能转换，培养适合各产业发展的管理人才，强化产教融合，拓宽学生就业渠道，推动区域实体经济枝繁叶茂。我院大部分M</w:t>
      </w:r>
      <w:r>
        <w:rPr>
          <w:rFonts w:cs="宋体" w:asciiTheme="minorEastAsia" w:hAnsiTheme="minorEastAsia" w:eastAsiaTheme="minorEastAsia"/>
          <w:color w:val="000000" w:themeColor="text1"/>
          <w:kern w:val="0"/>
          <w:sz w:val="24"/>
          <w:szCs w:val="24"/>
          <w:lang w:val="zh-CN"/>
          <w14:textFill>
            <w14:solidFill>
              <w14:schemeClr w14:val="tx1"/>
            </w14:solidFill>
          </w14:textFill>
        </w:rPr>
        <w:t>BA\EMBA</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生源都来自粤港澳大湾区，学院M</w:t>
      </w:r>
      <w:r>
        <w:rPr>
          <w:rFonts w:cs="宋体" w:asciiTheme="minorEastAsia" w:hAnsiTheme="minorEastAsia" w:eastAsiaTheme="minorEastAsia"/>
          <w:color w:val="000000" w:themeColor="text1"/>
          <w:kern w:val="0"/>
          <w:sz w:val="24"/>
          <w:szCs w:val="24"/>
          <w:lang w:val="zh-CN"/>
          <w14:textFill>
            <w14:solidFill>
              <w14:schemeClr w14:val="tx1"/>
            </w14:solidFill>
          </w14:textFill>
        </w:rPr>
        <w:t>BA\EMBA教育</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为大湾区经济发展持续培养和输送了大量高素质管理人才，服务区域发展，助力地区腾飞。其中，部分M</w:t>
      </w:r>
      <w:r>
        <w:rPr>
          <w:rFonts w:cs="宋体" w:asciiTheme="minorEastAsia" w:hAnsiTheme="minorEastAsia" w:eastAsiaTheme="minorEastAsia"/>
          <w:color w:val="000000" w:themeColor="text1"/>
          <w:kern w:val="0"/>
          <w:sz w:val="24"/>
          <w:szCs w:val="24"/>
          <w:lang w:val="zh-CN"/>
          <w14:textFill>
            <w14:solidFill>
              <w14:schemeClr w14:val="tx1"/>
            </w14:solidFill>
          </w14:textFill>
        </w:rPr>
        <w:t>BA</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学生毕业后在粤港澳区自主创业，给本区域注射了新的活力，推动了本区域经济的发展；E</w:t>
      </w:r>
      <w:r>
        <w:rPr>
          <w:rFonts w:cs="宋体" w:asciiTheme="minorEastAsia" w:hAnsiTheme="minorEastAsia" w:eastAsiaTheme="minorEastAsia"/>
          <w:color w:val="000000" w:themeColor="text1"/>
          <w:kern w:val="0"/>
          <w:sz w:val="24"/>
          <w:szCs w:val="24"/>
          <w:lang w:val="zh-CN"/>
          <w14:textFill>
            <w14:solidFill>
              <w14:schemeClr w14:val="tx1"/>
            </w14:solidFill>
          </w14:textFill>
        </w:rPr>
        <w:t>MBA</w:t>
      </w:r>
      <w:r>
        <w:rPr>
          <w:rFonts w:hint="eastAsia" w:cs="宋体" w:asciiTheme="minorEastAsia" w:hAnsiTheme="minorEastAsia" w:eastAsiaTheme="minorEastAsia"/>
          <w:color w:val="000000" w:themeColor="text1"/>
          <w:kern w:val="0"/>
          <w:sz w:val="24"/>
          <w:szCs w:val="24"/>
          <w:lang w:val="zh-CN"/>
          <w14:textFill>
            <w14:solidFill>
              <w14:schemeClr w14:val="tx1"/>
            </w14:solidFill>
          </w14:textFill>
        </w:rPr>
        <w:t>的学生通过学习实现了企业的上市，推动了企业的可持续发展，为地区经济做出了贡献。</w:t>
      </w:r>
    </w:p>
    <w:p w14:paraId="4E4C06B6">
      <w:pPr>
        <w:numPr>
          <w:ilvl w:val="0"/>
          <w:numId w:val="0"/>
        </w:numPr>
        <w:spacing w:line="360" w:lineRule="auto"/>
        <w:ind w:left="481" w:leftChars="0"/>
        <w:rPr>
          <w:rFonts w:hint="default" w:cs="宋体" w:asciiTheme="minorEastAsia" w:hAnsiTheme="minorEastAsia" w:eastAsiaTheme="minorEastAsia"/>
          <w:color w:val="000000" w:themeColor="text1"/>
          <w:kern w:val="0"/>
          <w:sz w:val="28"/>
          <w:szCs w:val="28"/>
          <w:lang w:val="en-US" w:eastAsia="zh-CN"/>
          <w14:textFill>
            <w14:solidFill>
              <w14:schemeClr w14:val="tx1"/>
            </w14:solidFill>
          </w14:textFill>
        </w:rPr>
      </w:pPr>
    </w:p>
    <w:p w14:paraId="62A72ECA">
      <w:pPr>
        <w:numPr>
          <w:ilvl w:val="0"/>
          <w:numId w:val="0"/>
        </w:numPr>
        <w:spacing w:line="360" w:lineRule="auto"/>
        <w:ind w:firstLine="542"/>
        <w:rPr>
          <w:rStyle w:val="6"/>
          <w:rFonts w:hint="default" w:ascii="宋体" w:hAnsi="宋体" w:cs="宋体"/>
          <w:b/>
          <w:bCs w:val="0"/>
          <w:i w:val="0"/>
          <w:iCs w:val="0"/>
          <w:caps w:val="0"/>
          <w:color w:val="262626"/>
          <w:spacing w:val="0"/>
          <w:sz w:val="24"/>
          <w:szCs w:val="24"/>
          <w:shd w:val="clear" w:fill="FFFFFF"/>
          <w:lang w:val="en-US" w:eastAsia="zh-CN"/>
        </w:rPr>
      </w:pPr>
    </w:p>
    <w:p w14:paraId="1EF3A59F">
      <w:pPr>
        <w:numPr>
          <w:ilvl w:val="0"/>
          <w:numId w:val="1"/>
        </w:numPr>
        <w:spacing w:line="360" w:lineRule="auto"/>
        <w:rPr>
          <w:rFonts w:hint="eastAsia"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val="0"/>
          <w:i w:val="0"/>
          <w:iCs w:val="0"/>
          <w:caps w:val="0"/>
          <w:color w:val="262626"/>
          <w:spacing w:val="0"/>
          <w:sz w:val="28"/>
          <w:szCs w:val="28"/>
          <w:shd w:val="clear" w:fill="FFFFFF"/>
        </w:rPr>
        <w:t>学位点建设存在的问题</w:t>
      </w:r>
      <w:bookmarkStart w:id="0" w:name="_Toc16583"/>
    </w:p>
    <w:p w14:paraId="72FA51D5">
      <w:pPr>
        <w:numPr>
          <w:ilvl w:val="0"/>
          <w:numId w:val="5"/>
        </w:numPr>
        <w:spacing w:line="360" w:lineRule="auto"/>
        <w:ind w:left="420" w:leftChars="0"/>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纯海外背景的学生太少</w:t>
      </w:r>
      <w:bookmarkEnd w:id="0"/>
    </w:p>
    <w:p w14:paraId="1D8D460C">
      <w:pPr>
        <w:spacing w:line="360" w:lineRule="auto"/>
        <w:ind w:firstLine="480" w:firstLineChars="200"/>
        <w:rPr>
          <w:rFonts w:hint="eastAsia" w:ascii="宋体" w:hAnsi="宋体" w:eastAsia="宋体" w:cs="宋体"/>
          <w:color w:val="000000" w:themeColor="text1"/>
          <w:kern w:val="0"/>
          <w:sz w:val="24"/>
          <w:szCs w:val="24"/>
          <w:lang w:val="zh-CN"/>
          <w14:textFill>
            <w14:solidFill>
              <w14:schemeClr w14:val="tx1"/>
            </w14:solidFill>
          </w14:textFill>
        </w:rPr>
      </w:pPr>
      <w:r>
        <w:rPr>
          <w:rFonts w:hint="eastAsia" w:ascii="宋体" w:hAnsi="宋体" w:eastAsia="宋体" w:cs="宋体"/>
          <w:color w:val="000000" w:themeColor="text1"/>
          <w:kern w:val="0"/>
          <w:sz w:val="24"/>
          <w:szCs w:val="24"/>
          <w:lang w:val="zh-CN"/>
          <w14:textFill>
            <w14:solidFill>
              <w14:schemeClr w14:val="tx1"/>
            </w14:solidFill>
          </w14:textFill>
        </w:rPr>
        <w:t>暨南大学是一所侨校，学生来自五洲四海，“有海水的地方就有暨南人”，所以国际化是暨南大学很重要的特色，本学位点整合校内外教育资源，秉承暨南大学作为“华侨最高学府”的“面向海外，面向港澳台”的办学方针，招收优质的国际学员。由于近年受到国际疫情的影响，国际生源比例有所下降。</w:t>
      </w:r>
      <w:bookmarkStart w:id="1" w:name="_Toc7981"/>
    </w:p>
    <w:p w14:paraId="16E82D7E">
      <w:pPr>
        <w:numPr>
          <w:ilvl w:val="0"/>
          <w:numId w:val="5"/>
        </w:numPr>
        <w:spacing w:line="360" w:lineRule="auto"/>
        <w:ind w:left="420" w:leftChars="0" w:firstLine="0" w:firstLineChars="0"/>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选修课程组课程建设力度不足，学科交叉水平有待提高</w:t>
      </w:r>
      <w:bookmarkEnd w:id="1"/>
    </w:p>
    <w:p w14:paraId="580B69D5">
      <w:pPr>
        <w:spacing w:line="360" w:lineRule="auto"/>
        <w:ind w:firstLine="480" w:firstLineChars="200"/>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zh-CN"/>
          <w14:textFill>
            <w14:solidFill>
              <w14:schemeClr w14:val="tx1"/>
            </w14:solidFill>
          </w14:textFill>
        </w:rPr>
        <w:t>本学位点坚持</w:t>
      </w:r>
      <w:r>
        <w:rPr>
          <w:rFonts w:hint="eastAsia" w:ascii="宋体" w:hAnsi="宋体" w:eastAsia="宋体" w:cs="宋体"/>
          <w:color w:val="000000" w:themeColor="text1"/>
          <w:kern w:val="0"/>
          <w:sz w:val="24"/>
          <w:szCs w:val="24"/>
          <w14:textFill>
            <w14:solidFill>
              <w14:schemeClr w14:val="tx1"/>
            </w14:solidFill>
          </w14:textFill>
        </w:rPr>
        <w:t>培养</w:t>
      </w:r>
      <w:r>
        <w:rPr>
          <w:rFonts w:hint="eastAsia" w:ascii="宋体" w:hAnsi="宋体" w:eastAsia="宋体" w:cs="宋体"/>
          <w:color w:val="000000" w:themeColor="text1"/>
          <w:kern w:val="0"/>
          <w:sz w:val="24"/>
          <w:szCs w:val="24"/>
          <w:lang w:val="zh-CN"/>
          <w14:textFill>
            <w14:solidFill>
              <w14:schemeClr w14:val="tx1"/>
            </w14:solidFill>
          </w14:textFill>
        </w:rPr>
        <w:t>学生</w:t>
      </w:r>
      <w:r>
        <w:rPr>
          <w:rFonts w:hint="eastAsia" w:ascii="宋体" w:hAnsi="宋体" w:cs="宋体"/>
          <w:color w:val="000000" w:themeColor="text1"/>
          <w:kern w:val="0"/>
          <w:sz w:val="24"/>
          <w:szCs w:val="24"/>
          <w:lang w:val="en-US" w:eastAsia="zh-CN"/>
          <w14:textFill>
            <w14:solidFill>
              <w14:schemeClr w14:val="tx1"/>
            </w14:solidFill>
          </w14:textFill>
        </w:rPr>
        <w:t>在</w:t>
      </w:r>
      <w:r>
        <w:rPr>
          <w:rFonts w:hint="eastAsia" w:ascii="宋体" w:hAnsi="宋体" w:eastAsia="宋体" w:cs="宋体"/>
          <w:color w:val="000000" w:themeColor="text1"/>
          <w:kern w:val="0"/>
          <w:sz w:val="24"/>
          <w:szCs w:val="24"/>
          <w:lang w:val="zh-CN"/>
          <w14:textFill>
            <w14:solidFill>
              <w14:schemeClr w14:val="tx1"/>
            </w14:solidFill>
          </w14:textFill>
        </w:rPr>
        <w:t>管理理论、社会责任、国际视野方面的能力，培养新时代的华商企业领袖。在数据化的社会大趋势下，还未能完全结合时代的发展和企业人才的需求开设</w:t>
      </w:r>
      <w:r>
        <w:rPr>
          <w:rFonts w:hint="eastAsia" w:ascii="宋体" w:hAnsi="宋体" w:eastAsia="宋体" w:cs="宋体"/>
          <w:color w:val="000000" w:themeColor="text1"/>
          <w:kern w:val="0"/>
          <w:sz w:val="24"/>
          <w:szCs w:val="24"/>
          <w14:textFill>
            <w14:solidFill>
              <w14:schemeClr w14:val="tx1"/>
            </w14:solidFill>
          </w14:textFill>
        </w:rPr>
        <w:t>选修课程，做到学科交叉。</w:t>
      </w:r>
    </w:p>
    <w:p w14:paraId="215472AF">
      <w:pPr>
        <w:numPr>
          <w:ilvl w:val="0"/>
          <w:numId w:val="5"/>
        </w:numPr>
        <w:autoSpaceDE w:val="0"/>
        <w:autoSpaceDN w:val="0"/>
        <w:adjustRightInd w:val="0"/>
        <w:spacing w:line="360" w:lineRule="auto"/>
        <w:ind w:left="420" w:leftChars="0" w:firstLine="0" w:firstLineChars="0"/>
        <w:outlineLvl w:val="1"/>
        <w:rPr>
          <w:rFonts w:hint="eastAsia" w:ascii="宋体" w:hAnsi="宋体" w:eastAsia="宋体" w:cs="宋体"/>
          <w:b/>
          <w:bCs/>
          <w:color w:val="000000" w:themeColor="text1"/>
          <w:kern w:val="0"/>
          <w:sz w:val="24"/>
          <w:szCs w:val="24"/>
          <w14:textFill>
            <w14:solidFill>
              <w14:schemeClr w14:val="tx1"/>
            </w14:solidFill>
          </w14:textFill>
        </w:rPr>
      </w:pPr>
      <w:bookmarkStart w:id="2" w:name="_Toc8001"/>
      <w:r>
        <w:rPr>
          <w:rFonts w:hint="eastAsia" w:ascii="宋体" w:hAnsi="宋体" w:eastAsia="宋体" w:cs="宋体"/>
          <w:b/>
          <w:bCs/>
          <w:color w:val="000000" w:themeColor="text1"/>
          <w:kern w:val="0"/>
          <w:sz w:val="24"/>
          <w:szCs w:val="24"/>
          <w14:textFill>
            <w14:solidFill>
              <w14:schemeClr w14:val="tx1"/>
            </w14:solidFill>
          </w14:textFill>
        </w:rPr>
        <w:t>师资结构不合理，青年教师比例偏低</w:t>
      </w:r>
      <w:bookmarkEnd w:id="2"/>
    </w:p>
    <w:p w14:paraId="3ED8463C">
      <w:pPr>
        <w:spacing w:line="360" w:lineRule="auto"/>
        <w:ind w:firstLine="480" w:firstLineChars="200"/>
        <w:rPr>
          <w:rFonts w:hint="eastAsia" w:ascii="宋体" w:hAnsi="宋体" w:eastAsia="宋体" w:cs="宋体"/>
          <w:color w:val="000000" w:themeColor="text1"/>
          <w:kern w:val="0"/>
          <w:sz w:val="24"/>
          <w:szCs w:val="24"/>
          <w:lang w:val="zh-CN"/>
          <w14:textFill>
            <w14:solidFill>
              <w14:schemeClr w14:val="tx1"/>
            </w14:solidFill>
          </w14:textFill>
        </w:rPr>
      </w:pPr>
      <w:r>
        <w:rPr>
          <w:rFonts w:hint="eastAsia" w:ascii="宋体" w:hAnsi="宋体" w:eastAsia="宋体" w:cs="宋体"/>
          <w:color w:val="000000" w:themeColor="text1"/>
          <w:kern w:val="0"/>
          <w:sz w:val="24"/>
          <w:szCs w:val="24"/>
          <w:lang w:val="zh-CN"/>
          <w14:textFill>
            <w14:solidFill>
              <w14:schemeClr w14:val="tx1"/>
            </w14:solidFill>
          </w14:textFill>
        </w:rPr>
        <w:t>本学位点师资存在一定的衔接断层情况，如课程的团队组建仍需加强，人才机制体制改革需进一步推进，教师自身发展的内在动力还有待进一步提高。</w:t>
      </w:r>
    </w:p>
    <w:p w14:paraId="1A021A57">
      <w:pPr>
        <w:numPr>
          <w:ilvl w:val="0"/>
          <w:numId w:val="5"/>
        </w:numPr>
        <w:autoSpaceDE w:val="0"/>
        <w:autoSpaceDN w:val="0"/>
        <w:adjustRightInd w:val="0"/>
        <w:spacing w:line="360" w:lineRule="auto"/>
        <w:ind w:left="420" w:leftChars="0" w:firstLine="0" w:firstLineChars="0"/>
        <w:outlineLvl w:val="1"/>
        <w:rPr>
          <w:rFonts w:hint="eastAsia" w:ascii="宋体" w:hAnsi="宋体" w:eastAsia="宋体" w:cs="宋体"/>
          <w:b/>
          <w:bCs/>
          <w:color w:val="000000" w:themeColor="text1"/>
          <w:kern w:val="0"/>
          <w:sz w:val="24"/>
          <w:szCs w:val="24"/>
          <w14:textFill>
            <w14:solidFill>
              <w14:schemeClr w14:val="tx1"/>
            </w14:solidFill>
          </w14:textFill>
        </w:rPr>
      </w:pPr>
      <w:bookmarkStart w:id="3" w:name="_Toc11873"/>
      <w:r>
        <w:rPr>
          <w:rFonts w:hint="eastAsia" w:ascii="宋体" w:hAnsi="宋体" w:eastAsia="宋体" w:cs="宋体"/>
          <w:b/>
          <w:bCs/>
          <w:color w:val="000000" w:themeColor="text1"/>
          <w:kern w:val="0"/>
          <w:sz w:val="24"/>
          <w:szCs w:val="24"/>
          <w14:textFill>
            <w14:solidFill>
              <w14:schemeClr w14:val="tx1"/>
            </w14:solidFill>
          </w14:textFill>
        </w:rPr>
        <w:t>学生校友组织和职业平台建设有待进一步完善</w:t>
      </w:r>
      <w:bookmarkEnd w:id="3"/>
    </w:p>
    <w:p w14:paraId="46ED691C">
      <w:pPr>
        <w:spacing w:line="360" w:lineRule="auto"/>
        <w:ind w:firstLine="480" w:firstLineChars="200"/>
        <w:rPr>
          <w:rFonts w:hint="eastAsia" w:ascii="宋体" w:hAnsi="宋体" w:eastAsia="宋体" w:cs="宋体"/>
          <w:color w:val="000000" w:themeColor="text1"/>
          <w:kern w:val="0"/>
          <w:sz w:val="24"/>
          <w:szCs w:val="24"/>
          <w:lang w:val="zh-CN"/>
          <w14:textFill>
            <w14:solidFill>
              <w14:schemeClr w14:val="tx1"/>
            </w14:solidFill>
          </w14:textFill>
        </w:rPr>
      </w:pPr>
      <w:r>
        <w:rPr>
          <w:rFonts w:hint="eastAsia" w:ascii="宋体" w:hAnsi="宋体" w:eastAsia="宋体" w:cs="宋体"/>
          <w:color w:val="000000" w:themeColor="text1"/>
          <w:kern w:val="0"/>
          <w:sz w:val="24"/>
          <w:szCs w:val="24"/>
          <w:lang w:val="zh-CN"/>
          <w14:textFill>
            <w14:solidFill>
              <w14:schemeClr w14:val="tx1"/>
            </w14:solidFill>
          </w14:textFill>
        </w:rPr>
        <w:t>学生校友资源是学校最富饶的人才资源，本学位点在校友资源的合理利用方面还存在较大发展空间，还需继续强化校友资源对于就业工作等方面作用的认识。</w:t>
      </w:r>
    </w:p>
    <w:p w14:paraId="482DAFA2">
      <w:pPr>
        <w:numPr>
          <w:ilvl w:val="0"/>
          <w:numId w:val="0"/>
        </w:numPr>
        <w:spacing w:line="360" w:lineRule="auto"/>
        <w:rPr>
          <w:rStyle w:val="6"/>
          <w:rFonts w:hint="eastAsia" w:ascii="宋体" w:hAnsi="宋体" w:eastAsia="宋体" w:cs="宋体"/>
          <w:b/>
          <w:bCs w:val="0"/>
          <w:i w:val="0"/>
          <w:iCs w:val="0"/>
          <w:caps w:val="0"/>
          <w:color w:val="262626"/>
          <w:spacing w:val="0"/>
          <w:sz w:val="24"/>
          <w:szCs w:val="24"/>
          <w:shd w:val="clear" w:fill="FFFFFF"/>
        </w:rPr>
      </w:pPr>
    </w:p>
    <w:p w14:paraId="126BC528">
      <w:pPr>
        <w:numPr>
          <w:ilvl w:val="0"/>
          <w:numId w:val="1"/>
        </w:numPr>
        <w:spacing w:line="360" w:lineRule="auto"/>
        <w:rPr>
          <w:rStyle w:val="6"/>
          <w:rFonts w:hint="eastAsia" w:ascii="宋体" w:hAnsi="宋体" w:eastAsia="宋体" w:cs="宋体"/>
          <w:b/>
          <w:bCs w:val="0"/>
          <w:i w:val="0"/>
          <w:iCs w:val="0"/>
          <w:caps w:val="0"/>
          <w:color w:val="262626"/>
          <w:spacing w:val="0"/>
          <w:sz w:val="28"/>
          <w:szCs w:val="28"/>
          <w:shd w:val="clear" w:fill="FFFFFF"/>
        </w:rPr>
      </w:pPr>
      <w:r>
        <w:rPr>
          <w:rFonts w:hint="eastAsia" w:ascii="宋体" w:hAnsi="宋体" w:eastAsia="宋体" w:cs="宋体"/>
          <w:b/>
          <w:bCs w:val="0"/>
          <w:i w:val="0"/>
          <w:iCs w:val="0"/>
          <w:caps w:val="0"/>
          <w:color w:val="262626"/>
          <w:spacing w:val="0"/>
          <w:sz w:val="28"/>
          <w:szCs w:val="28"/>
          <w:shd w:val="clear" w:fill="FFFFFF"/>
        </w:rPr>
        <w:t>学位点建设的改进计划</w:t>
      </w:r>
    </w:p>
    <w:p w14:paraId="55E452CC">
      <w:pPr>
        <w:numPr>
          <w:ilvl w:val="0"/>
          <w:numId w:val="6"/>
        </w:numPr>
        <w:spacing w:line="360" w:lineRule="auto"/>
        <w:ind w:left="420" w:leftChars="0" w:firstLineChars="0"/>
        <w:outlineLvl w:val="1"/>
        <w:rPr>
          <w:rFonts w:hint="eastAsia" w:ascii="宋体" w:hAnsi="宋体" w:eastAsia="宋体" w:cs="宋体"/>
          <w:b/>
          <w:color w:val="000000" w:themeColor="text1"/>
          <w:kern w:val="0"/>
          <w:sz w:val="24"/>
          <w:szCs w:val="24"/>
          <w:lang w:val="zh-CN"/>
          <w14:textFill>
            <w14:solidFill>
              <w14:schemeClr w14:val="tx1"/>
            </w14:solidFill>
          </w14:textFill>
        </w:rPr>
      </w:pPr>
      <w:bookmarkStart w:id="4" w:name="_Toc19467"/>
      <w:r>
        <w:rPr>
          <w:rFonts w:hint="eastAsia" w:ascii="宋体" w:hAnsi="宋体" w:eastAsia="宋体" w:cs="宋体"/>
          <w:b/>
          <w:color w:val="000000" w:themeColor="text1"/>
          <w:kern w:val="0"/>
          <w:sz w:val="24"/>
          <w:szCs w:val="24"/>
          <w14:textFill>
            <w14:solidFill>
              <w14:schemeClr w14:val="tx1"/>
            </w14:solidFill>
          </w14:textFill>
        </w:rPr>
        <w:t>推进多样性海外推广</w:t>
      </w:r>
      <w:r>
        <w:rPr>
          <w:rFonts w:hint="eastAsia" w:ascii="宋体" w:hAnsi="宋体" w:eastAsia="宋体" w:cs="宋体"/>
          <w:b/>
          <w:color w:val="000000" w:themeColor="text1"/>
          <w:kern w:val="0"/>
          <w:sz w:val="24"/>
          <w:szCs w:val="24"/>
          <w:lang w:val="zh-CN"/>
          <w14:textFill>
            <w14:solidFill>
              <w14:schemeClr w14:val="tx1"/>
            </w14:solidFill>
          </w14:textFill>
        </w:rPr>
        <w:t>，积极响应“一带一路”倡议及大湾区战略</w:t>
      </w:r>
      <w:bookmarkEnd w:id="4"/>
    </w:p>
    <w:p w14:paraId="13186D93">
      <w:pPr>
        <w:spacing w:line="360" w:lineRule="auto"/>
        <w:ind w:firstLine="480" w:firstLineChars="200"/>
        <w:rPr>
          <w:rFonts w:hint="eastAsia" w:ascii="宋体" w:hAnsi="宋体" w:eastAsia="宋体" w:cs="宋体"/>
          <w:color w:val="000000" w:themeColor="text1"/>
          <w:kern w:val="0"/>
          <w:sz w:val="24"/>
          <w:szCs w:val="24"/>
          <w:lang w:val="zh-CN"/>
          <w14:textFill>
            <w14:solidFill>
              <w14:schemeClr w14:val="tx1"/>
            </w14:solidFill>
          </w14:textFill>
        </w:rPr>
      </w:pPr>
      <w:r>
        <w:rPr>
          <w:rFonts w:hint="eastAsia" w:ascii="宋体" w:hAnsi="宋体" w:eastAsia="宋体" w:cs="宋体"/>
          <w:color w:val="000000" w:themeColor="text1"/>
          <w:kern w:val="0"/>
          <w:sz w:val="24"/>
          <w:szCs w:val="24"/>
          <w:lang w:val="zh-CN"/>
          <w14:textFill>
            <w14:solidFill>
              <w14:schemeClr w14:val="tx1"/>
            </w14:solidFill>
          </w14:textFill>
        </w:rPr>
        <w:t>本学位点将秉承“宏教泽而系侨情”的办学宗旨，继续推进我校“双一流”和高水平大学建设，进一步发挥学校的侨校特色和优势，吸引“一带一路”</w:t>
      </w:r>
      <w:r>
        <w:rPr>
          <w:rFonts w:hint="eastAsia" w:ascii="宋体" w:hAnsi="宋体" w:cs="宋体"/>
          <w:color w:val="000000" w:themeColor="text1"/>
          <w:kern w:val="0"/>
          <w:sz w:val="24"/>
          <w:szCs w:val="24"/>
          <w:lang w:val="en-US" w:eastAsia="zh-CN"/>
          <w14:textFill>
            <w14:solidFill>
              <w14:schemeClr w14:val="tx1"/>
            </w14:solidFill>
          </w14:textFill>
        </w:rPr>
        <w:t>合作伙伴</w:t>
      </w:r>
      <w:r>
        <w:rPr>
          <w:rFonts w:hint="eastAsia" w:ascii="宋体" w:hAnsi="宋体" w:eastAsia="宋体" w:cs="宋体"/>
          <w:color w:val="000000" w:themeColor="text1"/>
          <w:kern w:val="0"/>
          <w:sz w:val="24"/>
          <w:szCs w:val="24"/>
          <w:lang w:val="zh-CN"/>
          <w14:textFill>
            <w14:solidFill>
              <w14:schemeClr w14:val="tx1"/>
            </w14:solidFill>
          </w14:textFill>
        </w:rPr>
        <w:t>人才前来进行MBA课程学习，扩大国际化生源，并积极拓展国际化市场及美誉度，“把中华优秀传统文化传播到五洲四海”。</w:t>
      </w:r>
      <w:r>
        <w:rPr>
          <w:rFonts w:hint="eastAsia" w:ascii="宋体" w:hAnsi="宋体" w:eastAsia="宋体" w:cs="宋体"/>
          <w:color w:val="000000" w:themeColor="text1"/>
          <w:kern w:val="0"/>
          <w:sz w:val="24"/>
          <w:szCs w:val="24"/>
          <w14:textFill>
            <w14:solidFill>
              <w14:schemeClr w14:val="tx1"/>
            </w14:solidFill>
          </w14:textFill>
        </w:rPr>
        <w:t>计划开展</w:t>
      </w:r>
      <w:r>
        <w:rPr>
          <w:rFonts w:hint="eastAsia" w:ascii="宋体" w:hAnsi="宋体" w:eastAsia="宋体" w:cs="宋体"/>
          <w:color w:val="000000" w:themeColor="text1"/>
          <w:kern w:val="0"/>
          <w:sz w:val="24"/>
          <w:szCs w:val="24"/>
          <w:lang w:val="zh-CN"/>
          <w14:textFill>
            <w14:solidFill>
              <w14:schemeClr w14:val="tx1"/>
            </w14:solidFill>
          </w14:textFill>
        </w:rPr>
        <w:t>多样性海外的推广，严格海外背景学生的筛选，在东南亚和香港澳门区域做一些</w:t>
      </w:r>
      <w:r>
        <w:rPr>
          <w:rFonts w:hint="eastAsia" w:ascii="宋体" w:hAnsi="宋体" w:eastAsia="宋体" w:cs="宋体"/>
          <w:color w:val="000000" w:themeColor="text1"/>
          <w:kern w:val="0"/>
          <w:sz w:val="24"/>
          <w:szCs w:val="24"/>
          <w14:textFill>
            <w14:solidFill>
              <w14:schemeClr w14:val="tx1"/>
            </w14:solidFill>
          </w14:textFill>
        </w:rPr>
        <w:t>线上</w:t>
      </w:r>
      <w:r>
        <w:rPr>
          <w:rFonts w:hint="eastAsia" w:ascii="宋体" w:hAnsi="宋体" w:eastAsia="宋体" w:cs="宋体"/>
          <w:color w:val="000000" w:themeColor="text1"/>
          <w:kern w:val="0"/>
          <w:sz w:val="24"/>
          <w:szCs w:val="24"/>
          <w:lang w:val="zh-CN"/>
          <w14:textFill>
            <w14:solidFill>
              <w14:schemeClr w14:val="tx1"/>
            </w14:solidFill>
          </w14:textFill>
        </w:rPr>
        <w:t>推广，提高知名度。</w:t>
      </w:r>
    </w:p>
    <w:p w14:paraId="5E0F55DE">
      <w:pPr>
        <w:numPr>
          <w:ilvl w:val="0"/>
          <w:numId w:val="6"/>
        </w:numPr>
        <w:spacing w:line="360" w:lineRule="auto"/>
        <w:ind w:left="420" w:leftChars="0" w:firstLine="0" w:firstLineChars="0"/>
        <w:outlineLvl w:val="1"/>
        <w:rPr>
          <w:rFonts w:hint="eastAsia" w:ascii="宋体" w:hAnsi="宋体" w:eastAsia="宋体" w:cs="宋体"/>
          <w:b/>
          <w:color w:val="000000" w:themeColor="text1"/>
          <w:kern w:val="0"/>
          <w:sz w:val="24"/>
          <w:szCs w:val="24"/>
          <w:lang w:val="zh-CN"/>
          <w14:textFill>
            <w14:solidFill>
              <w14:schemeClr w14:val="tx1"/>
            </w14:solidFill>
          </w14:textFill>
        </w:rPr>
      </w:pPr>
      <w:bookmarkStart w:id="5" w:name="_Toc22286"/>
      <w:r>
        <w:rPr>
          <w:rFonts w:hint="eastAsia" w:ascii="宋体" w:hAnsi="宋体" w:eastAsia="宋体" w:cs="宋体"/>
          <w:b/>
          <w:color w:val="000000" w:themeColor="text1"/>
          <w:kern w:val="0"/>
          <w:sz w:val="24"/>
          <w:szCs w:val="24"/>
          <w14:textFill>
            <w14:solidFill>
              <w14:schemeClr w14:val="tx1"/>
            </w14:solidFill>
          </w14:textFill>
        </w:rPr>
        <w:t>加强课程组管理，</w:t>
      </w:r>
      <w:r>
        <w:rPr>
          <w:rFonts w:hint="eastAsia" w:ascii="宋体" w:hAnsi="宋体" w:eastAsia="宋体" w:cs="宋体"/>
          <w:b/>
          <w:color w:val="000000" w:themeColor="text1"/>
          <w:kern w:val="0"/>
          <w:sz w:val="24"/>
          <w:szCs w:val="24"/>
          <w:lang w:val="zh-CN"/>
          <w14:textFill>
            <w14:solidFill>
              <w14:schemeClr w14:val="tx1"/>
            </w14:solidFill>
          </w14:textFill>
        </w:rPr>
        <w:t>优化人才培养体系</w:t>
      </w:r>
      <w:bookmarkEnd w:id="5"/>
    </w:p>
    <w:p w14:paraId="3A356AD8">
      <w:pPr>
        <w:spacing w:line="360" w:lineRule="auto"/>
        <w:ind w:firstLine="480" w:firstLineChars="200"/>
        <w:rPr>
          <w:rFonts w:hint="eastAsia" w:ascii="宋体" w:hAnsi="宋体" w:eastAsia="宋体" w:cs="宋体"/>
          <w:color w:val="000000" w:themeColor="text1"/>
          <w:kern w:val="0"/>
          <w:sz w:val="24"/>
          <w:szCs w:val="24"/>
          <w:lang w:val="zh-CN"/>
          <w14:textFill>
            <w14:solidFill>
              <w14:schemeClr w14:val="tx1"/>
            </w14:solidFill>
          </w14:textFill>
        </w:rPr>
      </w:pPr>
      <w:r>
        <w:rPr>
          <w:rFonts w:hint="eastAsia" w:ascii="宋体" w:hAnsi="宋体" w:eastAsia="宋体" w:cs="宋体"/>
          <w:color w:val="000000" w:themeColor="text1"/>
          <w:kern w:val="0"/>
          <w:sz w:val="24"/>
          <w:szCs w:val="24"/>
          <w:lang w:val="zh-CN"/>
          <w14:textFill>
            <w14:solidFill>
              <w14:schemeClr w14:val="tx1"/>
            </w14:solidFill>
          </w14:textFill>
        </w:rPr>
        <w:t>本学位点将进一步完善新商科人才培养管理制度，推进以学位点自治为核心的培养管理体系建设，将立德树人贯穿到人才培养各环节。包括进一步优化课程培养方案，</w:t>
      </w:r>
      <w:r>
        <w:rPr>
          <w:rFonts w:hint="eastAsia" w:ascii="宋体" w:hAnsi="宋体" w:eastAsia="宋体" w:cs="宋体"/>
          <w:color w:val="000000" w:themeColor="text1"/>
          <w:kern w:val="0"/>
          <w:sz w:val="24"/>
          <w:szCs w:val="24"/>
          <w14:textFill>
            <w14:solidFill>
              <w14:schemeClr w14:val="tx1"/>
            </w14:solidFill>
          </w14:textFill>
        </w:rPr>
        <w:t>加强课程组建设，</w:t>
      </w:r>
      <w:r>
        <w:rPr>
          <w:rFonts w:hint="eastAsia" w:ascii="宋体" w:hAnsi="宋体" w:eastAsia="宋体" w:cs="宋体"/>
          <w:color w:val="000000" w:themeColor="text1"/>
          <w:kern w:val="0"/>
          <w:sz w:val="24"/>
          <w:szCs w:val="24"/>
          <w:lang w:val="zh-CN"/>
          <w14:textFill>
            <w14:solidFill>
              <w14:schemeClr w14:val="tx1"/>
            </w14:solidFill>
          </w14:textFill>
        </w:rPr>
        <w:t>根据数字经济对新时代商科人才的需求和能力要求不断完善人才培养方案，开设相关的选课课程，从而满足日新月异人才培养的要求。与此同时，适时推进专业化人才培养模式。</w:t>
      </w:r>
    </w:p>
    <w:p w14:paraId="5F5ABECA">
      <w:pPr>
        <w:numPr>
          <w:ilvl w:val="0"/>
          <w:numId w:val="6"/>
        </w:numPr>
        <w:spacing w:line="360" w:lineRule="auto"/>
        <w:ind w:left="420" w:leftChars="0" w:firstLine="0" w:firstLineChars="0"/>
        <w:outlineLvl w:val="1"/>
        <w:rPr>
          <w:rFonts w:hint="eastAsia" w:ascii="宋体" w:hAnsi="宋体" w:eastAsia="宋体" w:cs="宋体"/>
          <w:b/>
          <w:color w:val="000000" w:themeColor="text1"/>
          <w:kern w:val="0"/>
          <w:sz w:val="24"/>
          <w:szCs w:val="24"/>
          <w:lang w:val="zh-CN"/>
          <w14:textFill>
            <w14:solidFill>
              <w14:schemeClr w14:val="tx1"/>
            </w14:solidFill>
          </w14:textFill>
        </w:rPr>
      </w:pPr>
      <w:bookmarkStart w:id="6" w:name="_Toc4862"/>
      <w:r>
        <w:rPr>
          <w:rFonts w:hint="eastAsia" w:ascii="宋体" w:hAnsi="宋体" w:eastAsia="宋体" w:cs="宋体"/>
          <w:b/>
          <w:color w:val="000000" w:themeColor="text1"/>
          <w:kern w:val="0"/>
          <w:sz w:val="24"/>
          <w:szCs w:val="24"/>
          <w:lang w:val="zh-CN"/>
          <w14:textFill>
            <w14:solidFill>
              <w14:schemeClr w14:val="tx1"/>
            </w14:solidFill>
          </w14:textFill>
        </w:rPr>
        <w:t>完善师资队伍建设，提高教学质量</w:t>
      </w:r>
      <w:bookmarkEnd w:id="6"/>
    </w:p>
    <w:p w14:paraId="191EB655">
      <w:pPr>
        <w:spacing w:line="360" w:lineRule="auto"/>
        <w:ind w:firstLine="480" w:firstLineChars="200"/>
        <w:rPr>
          <w:rFonts w:hint="eastAsia" w:ascii="宋体" w:hAnsi="宋体" w:eastAsia="宋体" w:cs="宋体"/>
          <w:color w:val="000000" w:themeColor="text1"/>
          <w:kern w:val="0"/>
          <w:sz w:val="24"/>
          <w:szCs w:val="24"/>
          <w:lang w:val="zh-CN"/>
          <w14:textFill>
            <w14:solidFill>
              <w14:schemeClr w14:val="tx1"/>
            </w14:solidFill>
          </w14:textFill>
        </w:rPr>
      </w:pPr>
      <w:r>
        <w:rPr>
          <w:rFonts w:hint="eastAsia" w:ascii="宋体" w:hAnsi="宋体" w:eastAsia="宋体" w:cs="宋体"/>
          <w:color w:val="000000" w:themeColor="text1"/>
          <w:kern w:val="0"/>
          <w:sz w:val="24"/>
          <w:szCs w:val="24"/>
          <w:lang w:val="zh-CN"/>
          <w14:textFill>
            <w14:solidFill>
              <w14:schemeClr w14:val="tx1"/>
            </w14:solidFill>
          </w14:textFill>
        </w:rPr>
        <w:t>针对MBA的教学特色，本学位点将进一步加强对青年教师的培养，师资团队实现老中青梯队化培养模式，采取“传帮带”的特色课程组改革模式，继续推进课程组建设，全面提高教学水平。青年教师也应多参加MBA各项活动，包括四海讲堂、开题、答辩、PBL、知行团等活动等。</w:t>
      </w:r>
    </w:p>
    <w:p w14:paraId="64FFD9C0">
      <w:pPr>
        <w:numPr>
          <w:ilvl w:val="0"/>
          <w:numId w:val="6"/>
        </w:numPr>
        <w:spacing w:line="360" w:lineRule="auto"/>
        <w:ind w:left="420" w:leftChars="0" w:firstLine="0" w:firstLineChars="0"/>
        <w:outlineLvl w:val="1"/>
        <w:rPr>
          <w:rFonts w:hint="eastAsia" w:ascii="宋体" w:hAnsi="宋体" w:eastAsia="宋体" w:cs="宋体"/>
          <w:b/>
          <w:color w:val="000000" w:themeColor="text1"/>
          <w:kern w:val="0"/>
          <w:sz w:val="24"/>
          <w:szCs w:val="24"/>
          <w14:textFill>
            <w14:solidFill>
              <w14:schemeClr w14:val="tx1"/>
            </w14:solidFill>
          </w14:textFill>
        </w:rPr>
      </w:pPr>
      <w:bookmarkStart w:id="7" w:name="_Toc18357"/>
      <w:r>
        <w:rPr>
          <w:rFonts w:hint="eastAsia" w:ascii="宋体" w:hAnsi="宋体" w:eastAsia="宋体" w:cs="宋体"/>
          <w:b/>
          <w:color w:val="000000" w:themeColor="text1"/>
          <w:kern w:val="0"/>
          <w:sz w:val="24"/>
          <w:szCs w:val="24"/>
          <w14:textFill>
            <w14:solidFill>
              <w14:schemeClr w14:val="tx1"/>
            </w14:solidFill>
          </w14:textFill>
        </w:rPr>
        <w:t>加强产学研结合力度，</w:t>
      </w:r>
      <w:r>
        <w:rPr>
          <w:rFonts w:hint="eastAsia" w:ascii="宋体" w:hAnsi="宋体" w:eastAsia="宋体" w:cs="宋体"/>
          <w:b/>
          <w:color w:val="000000" w:themeColor="text1"/>
          <w:kern w:val="0"/>
          <w:sz w:val="24"/>
          <w:szCs w:val="24"/>
          <w:lang w:val="zh-CN"/>
          <w14:textFill>
            <w14:solidFill>
              <w14:schemeClr w14:val="tx1"/>
            </w14:solidFill>
          </w14:textFill>
        </w:rPr>
        <w:t>促进校友资源整合</w:t>
      </w:r>
      <w:bookmarkEnd w:id="7"/>
    </w:p>
    <w:p w14:paraId="129EA3A8">
      <w:pPr>
        <w:spacing w:line="360" w:lineRule="auto"/>
        <w:ind w:firstLine="480" w:firstLineChars="200"/>
        <w:rPr>
          <w:rFonts w:hint="eastAsia" w:ascii="宋体" w:hAnsi="宋体" w:eastAsia="宋体" w:cs="宋体"/>
          <w:color w:val="000000" w:themeColor="text1"/>
          <w:kern w:val="0"/>
          <w:sz w:val="24"/>
          <w:szCs w:val="24"/>
          <w:lang w:val="zh-CN"/>
          <w14:textFill>
            <w14:solidFill>
              <w14:schemeClr w14:val="tx1"/>
            </w14:solidFill>
          </w14:textFill>
        </w:rPr>
      </w:pPr>
      <w:r>
        <w:rPr>
          <w:rFonts w:hint="eastAsia" w:ascii="宋体" w:hAnsi="宋体" w:eastAsia="宋体" w:cs="宋体"/>
          <w:color w:val="000000" w:themeColor="text1"/>
          <w:kern w:val="0"/>
          <w:sz w:val="24"/>
          <w:szCs w:val="24"/>
          <w:lang w:val="zh-CN"/>
          <w14:textFill>
            <w14:solidFill>
              <w14:schemeClr w14:val="tx1"/>
            </w14:solidFill>
          </w14:textFill>
        </w:rPr>
        <w:t>本学位点的校友工作将秉承“纵横交错、知行合一”的理念，进一步合理开发和利用校友资源，通过以校友资源为支撑的校友宣传平台、交流平台、管理平台和服务平台的建设，为就业工作服务。进一步加强产学研结合力度，互促互进。推进“体验式”教学模式- 实践教学构建校友反哺生态圈，任课老师可将课程延伸至课外全方位互动交流平台，包括移动课堂、知行团活动、企业管理创新大赛、PBL、行业俱乐部活动等。</w:t>
      </w:r>
    </w:p>
    <w:p w14:paraId="2E55D210">
      <w:pPr>
        <w:numPr>
          <w:ilvl w:val="0"/>
          <w:numId w:val="0"/>
        </w:numPr>
        <w:spacing w:line="360" w:lineRule="auto"/>
        <w:rPr>
          <w:rStyle w:val="6"/>
          <w:rFonts w:hint="eastAsia" w:ascii="宋体" w:hAnsi="宋体" w:eastAsia="宋体" w:cs="宋体"/>
          <w:b/>
          <w:bCs w:val="0"/>
          <w:i w:val="0"/>
          <w:iCs w:val="0"/>
          <w:caps w:val="0"/>
          <w:color w:val="262626"/>
          <w:spacing w:val="0"/>
          <w:sz w:val="24"/>
          <w:szCs w:val="24"/>
          <w:shd w:val="clear" w:fill="FFFFFF"/>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KaiTi_GB2312">
    <w:altName w:val="楷体"/>
    <w:panose1 w:val="02010609060101010101"/>
    <w:charset w:val="86"/>
    <w:family w:val="modern"/>
    <w:pitch w:val="default"/>
    <w:sig w:usb0="00000000" w:usb1="00000000" w:usb2="00000016" w:usb3="00000000" w:csb0="00040001" w:csb1="00000000"/>
  </w:font>
  <w:font w:name="楷体">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C41D9">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85D4BB">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185D4BB">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4AA06D"/>
    <w:multiLevelType w:val="singleLevel"/>
    <w:tmpl w:val="D54AA06D"/>
    <w:lvl w:ilvl="0" w:tentative="0">
      <w:start w:val="1"/>
      <w:numFmt w:val="chineseCounting"/>
      <w:suff w:val="nothing"/>
      <w:lvlText w:val="%1、"/>
      <w:lvlJc w:val="left"/>
      <w:rPr>
        <w:rFonts w:hint="eastAsia"/>
      </w:rPr>
    </w:lvl>
  </w:abstractNum>
  <w:abstractNum w:abstractNumId="1">
    <w:nsid w:val="F658B3C2"/>
    <w:multiLevelType w:val="singleLevel"/>
    <w:tmpl w:val="F658B3C2"/>
    <w:lvl w:ilvl="0" w:tentative="0">
      <w:start w:val="1"/>
      <w:numFmt w:val="decimal"/>
      <w:lvlText w:val="%1."/>
      <w:lvlJc w:val="left"/>
      <w:pPr>
        <w:tabs>
          <w:tab w:val="left" w:pos="312"/>
        </w:tabs>
        <w:ind w:left="481" w:leftChars="0" w:firstLine="0" w:firstLineChars="0"/>
      </w:pPr>
    </w:lvl>
  </w:abstractNum>
  <w:abstractNum w:abstractNumId="2">
    <w:nsid w:val="035E14A8"/>
    <w:multiLevelType w:val="singleLevel"/>
    <w:tmpl w:val="035E14A8"/>
    <w:lvl w:ilvl="0" w:tentative="0">
      <w:start w:val="1"/>
      <w:numFmt w:val="decimal"/>
      <w:suff w:val="space"/>
      <w:lvlText w:val="%1."/>
      <w:lvlJc w:val="left"/>
    </w:lvl>
  </w:abstractNum>
  <w:abstractNum w:abstractNumId="3">
    <w:nsid w:val="0D92FDDD"/>
    <w:multiLevelType w:val="singleLevel"/>
    <w:tmpl w:val="0D92FDDD"/>
    <w:lvl w:ilvl="0" w:tentative="0">
      <w:start w:val="1"/>
      <w:numFmt w:val="decimal"/>
      <w:suff w:val="space"/>
      <w:lvlText w:val="%1."/>
      <w:lvlJc w:val="left"/>
      <w:pPr>
        <w:ind w:left="420"/>
      </w:pPr>
    </w:lvl>
  </w:abstractNum>
  <w:abstractNum w:abstractNumId="4">
    <w:nsid w:val="317CE571"/>
    <w:multiLevelType w:val="singleLevel"/>
    <w:tmpl w:val="317CE571"/>
    <w:lvl w:ilvl="0" w:tentative="0">
      <w:start w:val="1"/>
      <w:numFmt w:val="decimal"/>
      <w:suff w:val="space"/>
      <w:lvlText w:val="%1."/>
      <w:lvlJc w:val="left"/>
    </w:lvl>
  </w:abstractNum>
  <w:abstractNum w:abstractNumId="5">
    <w:nsid w:val="533C8522"/>
    <w:multiLevelType w:val="singleLevel"/>
    <w:tmpl w:val="533C8522"/>
    <w:lvl w:ilvl="0" w:tentative="0">
      <w:start w:val="1"/>
      <w:numFmt w:val="decimal"/>
      <w:suff w:val="space"/>
      <w:lvlText w:val="%1."/>
      <w:lvlJc w:val="left"/>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4MWQzNzhmMjllNDg4YTAyZTk2OTdkMjhkYzE3OTMifQ=="/>
  </w:docVars>
  <w:rsids>
    <w:rsidRoot w:val="368472BA"/>
    <w:rsid w:val="0FAD1946"/>
    <w:rsid w:val="16552D94"/>
    <w:rsid w:val="167A3263"/>
    <w:rsid w:val="17FF3300"/>
    <w:rsid w:val="219B6CB5"/>
    <w:rsid w:val="23253E95"/>
    <w:rsid w:val="28045EEE"/>
    <w:rsid w:val="2BFA139B"/>
    <w:rsid w:val="319F545B"/>
    <w:rsid w:val="368472BA"/>
    <w:rsid w:val="37F0436D"/>
    <w:rsid w:val="47BB73FE"/>
    <w:rsid w:val="4AF022EA"/>
    <w:rsid w:val="569D0B8E"/>
    <w:rsid w:val="65A27E70"/>
    <w:rsid w:val="6AF83C91"/>
    <w:rsid w:val="76F27835"/>
    <w:rsid w:val="7D0E5A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Strong"/>
    <w:basedOn w:val="5"/>
    <w:autoRedefine/>
    <w:qFormat/>
    <w:uiPriority w:val="0"/>
    <w:rPr>
      <w:b/>
    </w:rPr>
  </w:style>
  <w:style w:type="paragraph" w:styleId="7">
    <w:name w:val="List Paragraph"/>
    <w:basedOn w:val="1"/>
    <w:autoRedefine/>
    <w:qFormat/>
    <w:uiPriority w:val="34"/>
    <w:pPr>
      <w:ind w:firstLine="420" w:firstLineChars="200"/>
    </w:pPr>
    <w:rPr>
      <w:rFonts w:cs="Times New Roman"/>
      <w:szCs w:val="22"/>
    </w:rPr>
  </w:style>
  <w:style w:type="paragraph" w:customStyle="1" w:styleId="8">
    <w:name w:val="列出段落1"/>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4192</Words>
  <Characters>4464</Characters>
  <Lines>0</Lines>
  <Paragraphs>0</Paragraphs>
  <TotalTime>0</TotalTime>
  <ScaleCrop>false</ScaleCrop>
  <LinksUpToDate>false</LinksUpToDate>
  <CharactersWithSpaces>4468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2024-03-08T05:52:00Z</dcterms:created>
  <dc:creator>甜</dc:creator>
  <cp:lastModifiedBy>HeySeventeen</cp:lastModifiedBy>
  <dcterms:modified xsi:type="dcterms:W3CDTF">2025-03-14T09:06:05Z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FDE458DF61D24D19A15782D2B236D54E_13</vt:lpwstr>
  </property>
  <property fmtid="{D5CDD505-2E9C-101B-9397-08002B2CF9AE}" pid="4" name="KSOTemplateDocerSaveRecord">
    <vt:lpwstr>eyJoZGlkIjoiMzRlMDUwNmQ0NzA0YTVjMzg1YWNjMTkwMjBjZGQ0ZGQiLCJ1c2VySWQiOiIzMTg3MjAzMzcifQ==</vt:lpwstr>
  </property>
</Properties>
</file>