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1353F">
      <w:pPr>
        <w:spacing w:afterLines="50" w:line="560" w:lineRule="exact"/>
        <w:rPr>
          <w:rFonts w:ascii="宋体" w:hAnsi="宋体"/>
          <w:b/>
          <w:color w:val="000000" w:themeColor="text1"/>
          <w:sz w:val="28"/>
          <w:szCs w:val="28"/>
        </w:rPr>
      </w:pPr>
    </w:p>
    <w:p w14:paraId="2C5A93BC">
      <w:pPr>
        <w:spacing w:afterLines="50" w:line="560" w:lineRule="exact"/>
        <w:jc w:val="center"/>
        <w:rPr>
          <w:rFonts w:ascii="方正小标宋简体" w:hAnsi="宋体" w:eastAsia="方正小标宋简体"/>
          <w:b/>
          <w:color w:val="000000" w:themeColor="text1"/>
          <w:sz w:val="44"/>
          <w:szCs w:val="44"/>
        </w:rPr>
      </w:pPr>
    </w:p>
    <w:p w14:paraId="267DEE42">
      <w:pPr>
        <w:spacing w:afterLines="50" w:line="560" w:lineRule="exact"/>
        <w:jc w:val="center"/>
        <w:rPr>
          <w:rFonts w:ascii="方正小标宋简体" w:hAnsi="宋体" w:eastAsia="方正小标宋简体"/>
          <w:b/>
          <w:color w:val="000000" w:themeColor="text1"/>
          <w:sz w:val="44"/>
          <w:szCs w:val="44"/>
        </w:rPr>
      </w:pPr>
    </w:p>
    <w:p w14:paraId="7099A765">
      <w:pPr>
        <w:spacing w:afterLines="50" w:line="560" w:lineRule="exact"/>
        <w:jc w:val="center"/>
        <w:rPr>
          <w:rFonts w:ascii="方正小标宋简体" w:hAnsi="宋体" w:eastAsia="方正小标宋简体"/>
          <w:b/>
          <w:color w:val="000000" w:themeColor="text1"/>
          <w:sz w:val="52"/>
          <w:szCs w:val="52"/>
        </w:rPr>
      </w:pPr>
    </w:p>
    <w:p w14:paraId="5F5C07BB">
      <w:pPr>
        <w:spacing w:afterLines="50" w:line="560" w:lineRule="exact"/>
        <w:jc w:val="center"/>
        <w:rPr>
          <w:rFonts w:ascii="方正小标宋简体" w:hAnsi="宋体" w:eastAsia="方正小标宋简体"/>
          <w:b/>
          <w:color w:val="000000" w:themeColor="text1"/>
          <w:sz w:val="52"/>
          <w:szCs w:val="52"/>
        </w:rPr>
      </w:pPr>
      <w:r>
        <w:rPr>
          <w:rFonts w:hint="eastAsia" w:ascii="方正小标宋简体" w:hAnsi="宋体" w:eastAsia="方正小标宋简体"/>
          <w:b/>
          <w:color w:val="000000" w:themeColor="text1"/>
          <w:sz w:val="52"/>
          <w:szCs w:val="52"/>
        </w:rPr>
        <w:t>学位授权点</w:t>
      </w:r>
      <w:r>
        <w:rPr>
          <w:rFonts w:hint="eastAsia" w:ascii="方正小标宋简体" w:hAnsi="宋体" w:eastAsia="方正小标宋简体"/>
          <w:b/>
          <w:color w:val="000000" w:themeColor="text1"/>
          <w:sz w:val="52"/>
          <w:szCs w:val="52"/>
          <w:lang w:val="en-US" w:eastAsia="zh-CN"/>
        </w:rPr>
        <w:t>建设年度</w:t>
      </w:r>
      <w:r>
        <w:rPr>
          <w:rFonts w:hint="eastAsia" w:ascii="方正小标宋简体" w:hAnsi="宋体" w:eastAsia="方正小标宋简体"/>
          <w:b/>
          <w:color w:val="000000" w:themeColor="text1"/>
          <w:sz w:val="52"/>
          <w:szCs w:val="52"/>
        </w:rPr>
        <w:t>报告</w:t>
      </w:r>
    </w:p>
    <w:p w14:paraId="12DC3D2B">
      <w:pPr>
        <w:spacing w:afterLines="50" w:line="560" w:lineRule="exact"/>
        <w:jc w:val="center"/>
        <w:rPr>
          <w:rFonts w:ascii="方正小标宋简体" w:hAnsi="宋体" w:eastAsia="方正小标宋简体"/>
          <w:b/>
          <w:color w:val="000000" w:themeColor="text1"/>
          <w:sz w:val="52"/>
          <w:szCs w:val="52"/>
        </w:rPr>
      </w:pPr>
      <w:r>
        <w:rPr>
          <w:rFonts w:hint="eastAsia" w:ascii="方正小标宋简体" w:hAnsi="宋体" w:eastAsia="方正小标宋简体"/>
          <w:b/>
          <w:color w:val="000000" w:themeColor="text1"/>
          <w:sz w:val="52"/>
          <w:szCs w:val="52"/>
        </w:rPr>
        <w:t>（</w:t>
      </w:r>
      <w:r>
        <w:rPr>
          <w:rFonts w:hint="eastAsia" w:ascii="楷体" w:hAnsi="楷体" w:eastAsia="楷体" w:cs="楷体"/>
          <w:bCs/>
          <w:color w:val="000000" w:themeColor="text1"/>
          <w:sz w:val="32"/>
          <w:szCs w:val="32"/>
          <w:lang w:val="en-US" w:eastAsia="zh-CN"/>
        </w:rPr>
        <w:t>2021年</w:t>
      </w:r>
      <w:r>
        <w:rPr>
          <w:rFonts w:hint="eastAsia" w:ascii="方正小标宋简体" w:hAnsi="宋体" w:eastAsia="方正小标宋简体"/>
          <w:b/>
          <w:color w:val="000000" w:themeColor="text1"/>
          <w:sz w:val="52"/>
          <w:szCs w:val="52"/>
        </w:rPr>
        <w:t>）</w:t>
      </w:r>
    </w:p>
    <w:p w14:paraId="183A4B6D">
      <w:pPr>
        <w:spacing w:afterLines="50" w:line="560" w:lineRule="exact"/>
        <w:jc w:val="center"/>
        <w:rPr>
          <w:rFonts w:ascii="方正小标宋简体" w:hAnsi="宋体" w:eastAsia="方正小标宋简体"/>
          <w:b/>
          <w:color w:val="000000" w:themeColor="text1"/>
          <w:sz w:val="44"/>
          <w:szCs w:val="44"/>
        </w:rPr>
      </w:pPr>
    </w:p>
    <w:p w14:paraId="70CCFABF">
      <w:pPr>
        <w:spacing w:afterLines="50" w:line="560" w:lineRule="exact"/>
        <w:jc w:val="center"/>
        <w:rPr>
          <w:rFonts w:ascii="方正小标宋简体" w:hAnsi="宋体" w:eastAsia="方正小标宋简体"/>
          <w:b/>
          <w:color w:val="000000" w:themeColor="text1"/>
          <w:sz w:val="44"/>
          <w:szCs w:val="44"/>
        </w:rPr>
      </w:pPr>
    </w:p>
    <w:p w14:paraId="1167A9F3">
      <w:pPr>
        <w:spacing w:afterLines="50" w:line="560" w:lineRule="exact"/>
        <w:jc w:val="center"/>
        <w:rPr>
          <w:rFonts w:ascii="方正小标宋简体" w:hAnsi="宋体" w:eastAsia="方正小标宋简体"/>
          <w:b/>
          <w:color w:val="000000" w:themeColor="text1"/>
          <w:sz w:val="44"/>
          <w:szCs w:val="44"/>
        </w:rPr>
      </w:pPr>
    </w:p>
    <w:tbl>
      <w:tblPr>
        <w:tblStyle w:val="8"/>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4F0A86D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041C5962">
            <w:pPr>
              <w:spacing w:line="200" w:lineRule="atLeast"/>
              <w:jc w:val="distribute"/>
              <w:rPr>
                <w:rFonts w:eastAsia="KaiTi_GB2312"/>
                <w:b/>
                <w:color w:val="000000" w:themeColor="text1"/>
                <w:sz w:val="30"/>
                <w:szCs w:val="30"/>
              </w:rPr>
            </w:pPr>
            <w:r>
              <w:rPr>
                <w:rFonts w:hint="eastAsia" w:eastAsia="KaiTi_GB2312"/>
                <w:b/>
                <w:color w:val="000000" w:themeColor="text1"/>
                <w:sz w:val="30"/>
                <w:szCs w:val="30"/>
              </w:rPr>
              <w:t>学位授予单位</w:t>
            </w:r>
          </w:p>
        </w:tc>
        <w:tc>
          <w:tcPr>
            <w:tcW w:w="2880" w:type="dxa"/>
            <w:tcBorders>
              <w:bottom w:val="single" w:color="auto" w:sz="4" w:space="0"/>
            </w:tcBorders>
            <w:vAlign w:val="center"/>
          </w:tcPr>
          <w:p w14:paraId="34A8158D">
            <w:pPr>
              <w:rPr>
                <w:rFonts w:eastAsia="KaiTi_GB2312"/>
                <w:b/>
                <w:color w:val="000000" w:themeColor="text1"/>
                <w:sz w:val="30"/>
                <w:szCs w:val="30"/>
              </w:rPr>
            </w:pPr>
            <w:r>
              <w:rPr>
                <w:rFonts w:eastAsia="KaiTi_GB2312"/>
                <w:b/>
                <w:color w:val="000000" w:themeColor="text1"/>
                <w:sz w:val="30"/>
                <w:szCs w:val="30"/>
              </w:rPr>
              <w:t>名称：</w:t>
            </w:r>
            <w:r>
              <w:rPr>
                <w:rFonts w:hint="eastAsia" w:eastAsia="KaiTi_GB2312"/>
                <w:b/>
                <w:color w:val="000000" w:themeColor="text1"/>
                <w:sz w:val="30"/>
                <w:szCs w:val="30"/>
              </w:rPr>
              <w:t>暨南大学</w:t>
            </w:r>
          </w:p>
        </w:tc>
      </w:tr>
      <w:tr w14:paraId="535B803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38B52AAE">
            <w:pPr>
              <w:jc w:val="center"/>
              <w:rPr>
                <w:rFonts w:eastAsia="KaiTi_GB2312"/>
                <w:b/>
                <w:color w:val="000000" w:themeColor="text1"/>
                <w:sz w:val="30"/>
                <w:szCs w:val="30"/>
              </w:rPr>
            </w:pPr>
          </w:p>
        </w:tc>
        <w:tc>
          <w:tcPr>
            <w:tcW w:w="2880" w:type="dxa"/>
            <w:tcBorders>
              <w:top w:val="single" w:color="auto" w:sz="4" w:space="0"/>
            </w:tcBorders>
            <w:vAlign w:val="center"/>
          </w:tcPr>
          <w:p w14:paraId="5EAA3027">
            <w:pPr>
              <w:rPr>
                <w:rFonts w:eastAsia="KaiTi_GB2312"/>
                <w:b/>
                <w:color w:val="000000" w:themeColor="text1"/>
                <w:sz w:val="30"/>
                <w:szCs w:val="30"/>
              </w:rPr>
            </w:pPr>
            <w:r>
              <w:rPr>
                <w:rFonts w:eastAsia="KaiTi_GB2312"/>
                <w:b/>
                <w:color w:val="000000" w:themeColor="text1"/>
                <w:sz w:val="30"/>
                <w:szCs w:val="30"/>
              </w:rPr>
              <w:t>代码：</w:t>
            </w:r>
            <w:r>
              <w:rPr>
                <w:rFonts w:hint="eastAsia" w:eastAsia="KaiTi_GB2312"/>
                <w:b/>
                <w:color w:val="000000" w:themeColor="text1"/>
                <w:sz w:val="30"/>
                <w:szCs w:val="30"/>
              </w:rPr>
              <w:t>10559</w:t>
            </w:r>
          </w:p>
        </w:tc>
      </w:tr>
    </w:tbl>
    <w:p w14:paraId="57EF218F">
      <w:pPr>
        <w:spacing w:line="720" w:lineRule="auto"/>
        <w:jc w:val="center"/>
        <w:rPr>
          <w:rFonts w:eastAsia="KaiTi_GB2312"/>
          <w:b/>
          <w:color w:val="000000" w:themeColor="text1"/>
          <w:sz w:val="30"/>
          <w:szCs w:val="30"/>
        </w:rPr>
      </w:pPr>
    </w:p>
    <w:tbl>
      <w:tblPr>
        <w:tblStyle w:val="8"/>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63ABDEA6">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572A1CF8">
            <w:pPr>
              <w:jc w:val="distribute"/>
              <w:rPr>
                <w:rFonts w:eastAsia="KaiTi_GB2312"/>
                <w:b/>
                <w:color w:val="000000" w:themeColor="text1"/>
                <w:sz w:val="30"/>
                <w:szCs w:val="30"/>
              </w:rPr>
            </w:pPr>
            <w:r>
              <w:rPr>
                <w:rFonts w:hint="eastAsia" w:eastAsia="KaiTi_GB2312"/>
                <w:b/>
                <w:color w:val="000000" w:themeColor="text1"/>
                <w:sz w:val="30"/>
                <w:szCs w:val="30"/>
              </w:rPr>
              <w:t>授权</w:t>
            </w:r>
            <w:r>
              <w:rPr>
                <w:rFonts w:eastAsia="KaiTi_GB2312"/>
                <w:b/>
                <w:color w:val="000000" w:themeColor="text1"/>
                <w:sz w:val="30"/>
                <w:szCs w:val="30"/>
              </w:rPr>
              <w:t>学科</w:t>
            </w:r>
          </w:p>
          <w:p w14:paraId="37767A52">
            <w:pPr>
              <w:jc w:val="distribute"/>
              <w:rPr>
                <w:rFonts w:eastAsia="KaiTi_GB2312"/>
                <w:b/>
                <w:color w:val="000000" w:themeColor="text1"/>
                <w:sz w:val="30"/>
                <w:szCs w:val="30"/>
              </w:rPr>
            </w:pPr>
            <w:r>
              <w:rPr>
                <w:rFonts w:hint="eastAsia" w:eastAsia="KaiTi_GB2312"/>
                <w:b/>
                <w:color w:val="000000" w:themeColor="text1"/>
                <w:sz w:val="30"/>
                <w:szCs w:val="30"/>
              </w:rPr>
              <w:t>（类别）</w:t>
            </w:r>
          </w:p>
        </w:tc>
        <w:tc>
          <w:tcPr>
            <w:tcW w:w="2880" w:type="dxa"/>
            <w:tcBorders>
              <w:bottom w:val="single" w:color="auto" w:sz="4" w:space="0"/>
            </w:tcBorders>
            <w:vAlign w:val="center"/>
          </w:tcPr>
          <w:p w14:paraId="1C228381">
            <w:pPr>
              <w:rPr>
                <w:rFonts w:eastAsia="KaiTi_GB2312"/>
                <w:b/>
                <w:color w:val="000000" w:themeColor="text1"/>
                <w:sz w:val="30"/>
                <w:szCs w:val="30"/>
              </w:rPr>
            </w:pPr>
            <w:r>
              <w:rPr>
                <w:rFonts w:eastAsia="KaiTi_GB2312"/>
                <w:b/>
                <w:color w:val="000000" w:themeColor="text1"/>
                <w:sz w:val="30"/>
                <w:szCs w:val="30"/>
              </w:rPr>
              <w:t>名称：</w:t>
            </w:r>
            <w:r>
              <w:rPr>
                <w:rFonts w:hint="eastAsia" w:eastAsia="KaiTi_GB2312"/>
                <w:b/>
                <w:color w:val="000000" w:themeColor="text1"/>
                <w:sz w:val="30"/>
                <w:szCs w:val="30"/>
              </w:rPr>
              <w:t>工商管理</w:t>
            </w:r>
          </w:p>
        </w:tc>
      </w:tr>
      <w:tr w14:paraId="3DD13EC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5BF49743">
            <w:pPr>
              <w:jc w:val="center"/>
              <w:rPr>
                <w:rFonts w:eastAsia="KaiTi_GB2312"/>
                <w:b/>
                <w:color w:val="000000" w:themeColor="text1"/>
                <w:sz w:val="30"/>
                <w:szCs w:val="30"/>
              </w:rPr>
            </w:pPr>
          </w:p>
        </w:tc>
        <w:tc>
          <w:tcPr>
            <w:tcW w:w="2880" w:type="dxa"/>
            <w:tcBorders>
              <w:top w:val="single" w:color="auto" w:sz="4" w:space="0"/>
            </w:tcBorders>
            <w:vAlign w:val="center"/>
          </w:tcPr>
          <w:p w14:paraId="4052B07D">
            <w:pPr>
              <w:rPr>
                <w:rFonts w:eastAsia="KaiTi_GB2312"/>
                <w:b/>
                <w:color w:val="000000" w:themeColor="text1"/>
                <w:sz w:val="30"/>
                <w:szCs w:val="30"/>
              </w:rPr>
            </w:pPr>
            <w:r>
              <w:rPr>
                <w:rFonts w:eastAsia="KaiTi_GB2312"/>
                <w:b/>
                <w:color w:val="000000" w:themeColor="text1"/>
                <w:sz w:val="30"/>
                <w:szCs w:val="30"/>
              </w:rPr>
              <w:t>代码：</w:t>
            </w:r>
            <w:r>
              <w:rPr>
                <w:rFonts w:hint="eastAsia" w:eastAsia="KaiTi_GB2312"/>
                <w:b/>
                <w:color w:val="000000" w:themeColor="text1"/>
                <w:sz w:val="30"/>
                <w:szCs w:val="30"/>
              </w:rPr>
              <w:t>12510</w:t>
            </w:r>
          </w:p>
        </w:tc>
      </w:tr>
    </w:tbl>
    <w:p w14:paraId="5318886B">
      <w:pPr>
        <w:spacing w:line="720" w:lineRule="auto"/>
        <w:jc w:val="center"/>
        <w:rPr>
          <w:rFonts w:eastAsia="KaiTi_GB2312"/>
          <w:b/>
          <w:color w:val="000000" w:themeColor="text1"/>
          <w:sz w:val="30"/>
          <w:szCs w:val="30"/>
        </w:rPr>
      </w:pPr>
    </w:p>
    <w:tbl>
      <w:tblPr>
        <w:tblStyle w:val="8"/>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45B16B95">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19C82B74">
            <w:pPr>
              <w:jc w:val="distribute"/>
              <w:rPr>
                <w:rFonts w:eastAsia="KaiTi_GB2312"/>
                <w:b/>
                <w:color w:val="000000" w:themeColor="text1"/>
                <w:sz w:val="30"/>
                <w:szCs w:val="30"/>
              </w:rPr>
            </w:pPr>
            <w:r>
              <w:rPr>
                <w:rFonts w:hint="eastAsia" w:eastAsia="KaiTi_GB2312"/>
                <w:b/>
                <w:color w:val="000000" w:themeColor="text1"/>
                <w:sz w:val="30"/>
                <w:szCs w:val="30"/>
              </w:rPr>
              <w:t>授权级别</w:t>
            </w:r>
          </w:p>
        </w:tc>
        <w:tc>
          <w:tcPr>
            <w:tcW w:w="2880" w:type="dxa"/>
            <w:tcBorders>
              <w:bottom w:val="single" w:color="auto" w:sz="4" w:space="0"/>
            </w:tcBorders>
            <w:vAlign w:val="center"/>
          </w:tcPr>
          <w:p w14:paraId="46D8D73F">
            <w:pPr>
              <w:rPr>
                <w:rFonts w:eastAsia="KaiTi_GB2312"/>
                <w:b/>
                <w:color w:val="000000" w:themeColor="text1"/>
                <w:sz w:val="30"/>
                <w:szCs w:val="30"/>
              </w:rPr>
            </w:pPr>
            <w:r>
              <w:rPr>
                <w:rFonts w:hint="eastAsia" w:eastAsia="KaiTi_GB2312"/>
                <w:b/>
                <w:color w:val="000000" w:themeColor="text1"/>
                <w:sz w:val="30"/>
                <w:szCs w:val="30"/>
              </w:rPr>
              <w:t>□  博  士</w:t>
            </w:r>
          </w:p>
        </w:tc>
      </w:tr>
      <w:tr w14:paraId="2F779287">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33132791">
            <w:pPr>
              <w:jc w:val="center"/>
              <w:rPr>
                <w:rFonts w:eastAsia="KaiTi_GB2312"/>
                <w:b/>
                <w:color w:val="000000" w:themeColor="text1"/>
                <w:sz w:val="30"/>
                <w:szCs w:val="30"/>
              </w:rPr>
            </w:pPr>
          </w:p>
        </w:tc>
        <w:tc>
          <w:tcPr>
            <w:tcW w:w="2880" w:type="dxa"/>
            <w:tcBorders>
              <w:top w:val="single" w:color="auto" w:sz="4" w:space="0"/>
            </w:tcBorders>
            <w:vAlign w:val="center"/>
          </w:tcPr>
          <w:p w14:paraId="3F68D5DB">
            <w:pPr>
              <w:rPr>
                <w:rFonts w:eastAsia="KaiTi_GB2312"/>
                <w:b/>
                <w:color w:val="000000" w:themeColor="text1"/>
                <w:sz w:val="30"/>
                <w:szCs w:val="30"/>
              </w:rPr>
            </w:pPr>
            <w:r>
              <w:rPr>
                <w:rFonts w:hint="eastAsia" w:ascii="KaiTi_GB2312" w:hAnsi="KaiTi_GB2312" w:eastAsia="KaiTi_GB2312"/>
                <w:b/>
                <w:color w:val="000000" w:themeColor="text1"/>
                <w:sz w:val="30"/>
                <w:szCs w:val="30"/>
              </w:rPr>
              <w:sym w:font="Wingdings 2" w:char="F052"/>
            </w:r>
            <w:r>
              <w:rPr>
                <w:rFonts w:hint="eastAsia" w:eastAsia="KaiTi_GB2312"/>
                <w:b/>
                <w:color w:val="000000" w:themeColor="text1"/>
                <w:sz w:val="30"/>
                <w:szCs w:val="30"/>
              </w:rPr>
              <w:t xml:space="preserve">  硕  士</w:t>
            </w:r>
          </w:p>
        </w:tc>
      </w:tr>
    </w:tbl>
    <w:p w14:paraId="48CA04E4">
      <w:pPr>
        <w:spacing w:line="720" w:lineRule="auto"/>
        <w:jc w:val="center"/>
        <w:rPr>
          <w:rFonts w:eastAsia="KaiTi_GB2312"/>
          <w:b/>
          <w:color w:val="000000" w:themeColor="text1"/>
          <w:sz w:val="30"/>
          <w:szCs w:val="30"/>
        </w:rPr>
      </w:pPr>
    </w:p>
    <w:p w14:paraId="2E7D2E6A">
      <w:pPr>
        <w:jc w:val="center"/>
        <w:rPr>
          <w:rFonts w:eastAsia="KaiTi_GB2312"/>
          <w:b/>
          <w:color w:val="000000" w:themeColor="text1"/>
          <w:sz w:val="30"/>
          <w:szCs w:val="30"/>
        </w:rPr>
      </w:pPr>
      <w:r>
        <w:rPr>
          <w:rFonts w:eastAsia="KaiTi_GB2312"/>
          <w:b/>
          <w:color w:val="000000" w:themeColor="text1"/>
          <w:sz w:val="30"/>
          <w:szCs w:val="30"/>
        </w:rPr>
        <w:t>202</w:t>
      </w:r>
      <w:r>
        <w:rPr>
          <w:rFonts w:hint="eastAsia" w:eastAsia="KaiTi_GB2312"/>
          <w:b/>
          <w:color w:val="000000" w:themeColor="text1"/>
          <w:sz w:val="30"/>
          <w:szCs w:val="30"/>
        </w:rPr>
        <w:t xml:space="preserve">1  </w:t>
      </w:r>
      <w:r>
        <w:rPr>
          <w:rFonts w:eastAsia="KaiTi_GB2312"/>
          <w:b/>
          <w:color w:val="000000" w:themeColor="text1"/>
          <w:sz w:val="30"/>
          <w:szCs w:val="30"/>
        </w:rPr>
        <w:t xml:space="preserve">年 </w:t>
      </w:r>
      <w:r>
        <w:rPr>
          <w:rFonts w:hint="eastAsia" w:eastAsia="KaiTi_GB2312"/>
          <w:b/>
          <w:color w:val="000000" w:themeColor="text1"/>
          <w:sz w:val="30"/>
          <w:szCs w:val="30"/>
        </w:rPr>
        <w:t>9</w:t>
      </w:r>
      <w:r>
        <w:rPr>
          <w:rFonts w:eastAsia="KaiTi_GB2312"/>
          <w:b/>
          <w:color w:val="000000" w:themeColor="text1"/>
          <w:sz w:val="30"/>
          <w:szCs w:val="30"/>
        </w:rPr>
        <w:t xml:space="preserve"> 月 </w:t>
      </w:r>
      <w:r>
        <w:rPr>
          <w:rFonts w:hint="eastAsia" w:eastAsia="KaiTi_GB2312"/>
          <w:b/>
          <w:color w:val="000000" w:themeColor="text1"/>
          <w:sz w:val="30"/>
          <w:szCs w:val="30"/>
        </w:rPr>
        <w:t>10</w:t>
      </w:r>
      <w:r>
        <w:rPr>
          <w:rFonts w:eastAsia="KaiTi_GB2312"/>
          <w:b/>
          <w:color w:val="000000" w:themeColor="text1"/>
          <w:sz w:val="30"/>
          <w:szCs w:val="30"/>
        </w:rPr>
        <w:t xml:space="preserve"> 日</w:t>
      </w:r>
    </w:p>
    <w:p w14:paraId="1352CAC8">
      <w:pPr>
        <w:spacing w:afterLines="50" w:line="400" w:lineRule="exact"/>
        <w:jc w:val="center"/>
        <w:rPr>
          <w:rFonts w:eastAsia="KaiTi_GB2312"/>
          <w:b/>
          <w:color w:val="000000" w:themeColor="text1"/>
          <w:sz w:val="32"/>
          <w:szCs w:val="32"/>
        </w:rPr>
      </w:pPr>
      <w:r>
        <w:rPr>
          <w:rFonts w:ascii="方正小标宋简体" w:hAnsi="宋体" w:eastAsia="方正小标宋简体"/>
          <w:b/>
          <w:color w:val="000000" w:themeColor="text1"/>
          <w:sz w:val="44"/>
          <w:szCs w:val="44"/>
        </w:rPr>
        <w:br w:type="page"/>
      </w:r>
      <w:r>
        <w:rPr>
          <w:rFonts w:hint="eastAsia" w:eastAsia="KaiTi_GB2312"/>
          <w:b/>
          <w:color w:val="000000" w:themeColor="text1"/>
          <w:sz w:val="32"/>
          <w:szCs w:val="32"/>
        </w:rPr>
        <w:t>编 写 说 明</w:t>
      </w:r>
    </w:p>
    <w:p w14:paraId="6F60396C">
      <w:pPr>
        <w:spacing w:afterLines="50" w:line="400" w:lineRule="exact"/>
        <w:jc w:val="center"/>
        <w:rPr>
          <w:rFonts w:eastAsia="KaiTi_GB2312"/>
          <w:b/>
          <w:color w:val="000000" w:themeColor="text1"/>
          <w:sz w:val="32"/>
          <w:szCs w:val="32"/>
        </w:rPr>
      </w:pPr>
    </w:p>
    <w:p w14:paraId="265DA6E2">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一、本报告是在学位授权点完成自我评估后，根据自我评估结果和专家评议意见，对学位授权点的全面总结，分为三个部分：学位授权点基本情况、自我评估工作开展情况和持续改进计划。</w:t>
      </w:r>
    </w:p>
    <w:p w14:paraId="78A1EE0C">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二、本报告按学术学位授权点和专业学位授权点分别编写，同时获得博士、硕士学位授权的学科或专业学位类别，只编写一份总结报告。</w:t>
      </w:r>
    </w:p>
    <w:p w14:paraId="5A9A13E5">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三、封面中单位代码按照《高等学校和科研机构学位与研究生管理信息标准》（国务院学位委员会办公室编， 2004 月北京大学出版社出版）中教育部《高等学校代码》（包括高等学校与科研机构）填写，学术学位授权点的学科名称及代码按照国务院学位委员会和教育部 2011 年印发、2018年修订的《学位授予和人才培养学科目录》填写，只有二级学科学位授权点的，授权学科名称及代码按照国务院学位委员会和原国家教育委员会 1997 年颁布的《授予博士、硕士学位和培养研究生的学科、专业目录》填写；专业学位</w:t>
      </w:r>
      <w:r>
        <w:rPr>
          <w:rFonts w:hint="eastAsia" w:eastAsia="FangSong_GB2312"/>
          <w:color w:val="000000" w:themeColor="text1"/>
          <w:sz w:val="24"/>
          <w:lang w:val="en-US" w:eastAsia="zh-CN"/>
        </w:rPr>
        <w:t>授</w:t>
      </w:r>
      <w:r>
        <w:rPr>
          <w:rFonts w:hint="eastAsia" w:eastAsia="FangSong_GB2312"/>
          <w:color w:val="000000" w:themeColor="text1"/>
          <w:sz w:val="24"/>
        </w:rPr>
        <w:t>权点的类别名称及代码按照国务院学位委员会、教育部 2011 年印发的《专业学位授予和人才培养目录》填写；同时获得博士、硕士学位授权的学科，授权级别选“博士”。</w:t>
      </w:r>
    </w:p>
    <w:p w14:paraId="35576981">
      <w:pPr>
        <w:spacing w:line="400" w:lineRule="exact"/>
        <w:ind w:firstLine="480" w:firstLineChars="200"/>
        <w:rPr>
          <w:rFonts w:eastAsia="FangSong_GB2312"/>
          <w:color w:val="000000" w:themeColor="text1"/>
          <w:sz w:val="24"/>
        </w:rPr>
      </w:pPr>
      <w:r>
        <w:rPr>
          <w:rFonts w:hint="eastAsia" w:eastAsia="FangSong_GB2312"/>
          <w:color w:val="000000" w:themeColor="text1"/>
          <w:sz w:val="24"/>
        </w:rPr>
        <w:t>四、本报告采取写实性描述，能用数据定量描述的，不得定性描述．定量数据除总量外，尽可能用师均、生均或比例描述．报告中所描述的内容和数据应确属本学位点，必须真实、准确，有据可查。</w:t>
      </w:r>
    </w:p>
    <w:p w14:paraId="6FB250D7">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五、本报告的各项内容须是本学位点合格评估自评阶段</w:t>
      </w:r>
      <w:r>
        <w:rPr>
          <w:rFonts w:eastAsia="FangSong_GB2312"/>
          <w:color w:val="000000" w:themeColor="text1"/>
          <w:sz w:val="24"/>
        </w:rPr>
        <w:t>5</w:t>
      </w:r>
      <w:r>
        <w:rPr>
          <w:rFonts w:hint="eastAsia" w:eastAsia="FangSong_GB2312"/>
          <w:color w:val="000000" w:themeColor="text1"/>
          <w:sz w:val="24"/>
        </w:rPr>
        <w:t xml:space="preserve">年内的情况，统计时间以自评阶段第 </w:t>
      </w:r>
      <w:r>
        <w:rPr>
          <w:rFonts w:eastAsia="FangSong_GB2312"/>
          <w:color w:val="000000" w:themeColor="text1"/>
          <w:sz w:val="24"/>
        </w:rPr>
        <w:t>5</w:t>
      </w:r>
      <w:r>
        <w:rPr>
          <w:rFonts w:hint="eastAsia" w:eastAsia="FangSong_GB2312"/>
          <w:color w:val="000000" w:themeColor="text1"/>
          <w:sz w:val="24"/>
        </w:rPr>
        <w:t>年12 月底为截止时间。</w:t>
      </w:r>
    </w:p>
    <w:p w14:paraId="209AD356">
      <w:pPr>
        <w:spacing w:line="400" w:lineRule="exact"/>
        <w:ind w:firstLine="480" w:firstLineChars="200"/>
        <w:rPr>
          <w:rFonts w:eastAsia="FangSong_GB2312"/>
          <w:color w:val="000000" w:themeColor="text1"/>
          <w:sz w:val="24"/>
        </w:rPr>
      </w:pPr>
      <w:r>
        <w:rPr>
          <w:rFonts w:hint="eastAsia" w:eastAsia="FangSong_GB2312"/>
          <w:color w:val="000000" w:themeColor="text1"/>
          <w:sz w:val="24"/>
        </w:rPr>
        <w:t>六、本报告所涉及的师资内容应区分目前人事关系隶属本单位的专职人员和兼职导师（同一人员原则上不得在不同学术学位点或不同专业学位点重复统计或填写）。</w:t>
      </w:r>
    </w:p>
    <w:p w14:paraId="55F243D5">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14:paraId="3F1262E5">
      <w:pPr>
        <w:spacing w:line="400" w:lineRule="exact"/>
        <w:ind w:firstLine="480" w:firstLineChars="200"/>
        <w:rPr>
          <w:rFonts w:eastAsia="FangSong_GB2312"/>
          <w:color w:val="000000" w:themeColor="text1"/>
          <w:sz w:val="24"/>
        </w:rPr>
      </w:pPr>
      <w:r>
        <w:rPr>
          <w:rFonts w:hint="eastAsia" w:eastAsia="FangSong_GB2312"/>
          <w:color w:val="000000" w:themeColor="text1"/>
          <w:sz w:val="24"/>
        </w:rPr>
        <w:t>八、涉及国家机密的内容一律按国家有关保密规定进行脱密处理后编写。</w:t>
      </w:r>
    </w:p>
    <w:p w14:paraId="16CA774B">
      <w:pPr>
        <w:spacing w:line="400" w:lineRule="exact"/>
        <w:ind w:firstLine="480" w:firstLineChars="200"/>
        <w:rPr>
          <w:rFonts w:eastAsia="方正仿宋简体"/>
          <w:b/>
          <w:color w:val="000000" w:themeColor="text1"/>
          <w:sz w:val="32"/>
          <w:szCs w:val="32"/>
        </w:rPr>
      </w:pPr>
      <w:r>
        <w:rPr>
          <w:rFonts w:hint="eastAsia" w:eastAsia="FangSong_GB2312"/>
          <w:color w:val="000000" w:themeColor="text1"/>
          <w:sz w:val="24"/>
        </w:rPr>
        <w:t>九、本报告文字使用四号宋体，字数不超过 8000字，纸张限用A4。</w:t>
      </w:r>
      <w:r>
        <w:rPr>
          <w:rFonts w:eastAsia="FangSong_GB2312"/>
          <w:color w:val="000000" w:themeColor="text1"/>
          <w:spacing w:val="2"/>
          <w:sz w:val="24"/>
        </w:rPr>
        <w:br w:type="page"/>
      </w:r>
      <w:r>
        <w:rPr>
          <w:rFonts w:ascii="黑体" w:eastAsia="黑体"/>
          <w:b/>
          <w:color w:val="000000" w:themeColor="text1"/>
          <w:sz w:val="32"/>
          <w:szCs w:val="32"/>
        </w:rPr>
        <w:t>一、学位授权点</w:t>
      </w:r>
      <w:r>
        <w:rPr>
          <w:rFonts w:hint="eastAsia" w:ascii="黑体" w:eastAsia="黑体"/>
          <w:b/>
          <w:color w:val="000000" w:themeColor="text1"/>
          <w:sz w:val="32"/>
          <w:szCs w:val="32"/>
        </w:rPr>
        <w:t>基本情况</w:t>
      </w:r>
    </w:p>
    <w:p w14:paraId="78E6F3AC">
      <w:pPr>
        <w:spacing w:line="540" w:lineRule="exact"/>
        <w:ind w:firstLine="600" w:firstLineChars="200"/>
        <w:rPr>
          <w:rFonts w:ascii="KaiTi_GB2312" w:eastAsia="KaiTi_GB2312"/>
          <w:color w:val="000000" w:themeColor="text1"/>
          <w:sz w:val="30"/>
          <w:szCs w:val="30"/>
        </w:rPr>
      </w:pPr>
      <w:r>
        <w:rPr>
          <w:rFonts w:hint="eastAsia" w:ascii="KaiTi_GB2312" w:eastAsia="KaiTi_GB2312"/>
          <w:color w:val="000000" w:themeColor="text1"/>
          <w:sz w:val="30"/>
          <w:szCs w:val="30"/>
        </w:rPr>
        <w:t>【本部分由学位授权点根据《学位授权点抽评要素》的主要内容进行编写，但不局限于抽评要素中所列的主妥内容。编写时应体现本学位授权点的特色和人才培养水平，相关数据统计可以使用图表表示。博士学位授权点涉及博士、硕士内容不同的部分可分别描述。已列入《学位授权点基本状态信息表》的内容，仅描述整体情况和亮点特色即可，无需罗列详细清单。】</w:t>
      </w:r>
    </w:p>
    <w:p w14:paraId="616A2EEF">
      <w:pPr>
        <w:spacing w:line="540" w:lineRule="exact"/>
        <w:ind w:firstLine="630" w:firstLineChars="196"/>
        <w:rPr>
          <w:rFonts w:ascii="黑体" w:eastAsia="黑体"/>
          <w:b/>
          <w:color w:val="000000" w:themeColor="text1"/>
          <w:sz w:val="32"/>
          <w:szCs w:val="32"/>
        </w:rPr>
      </w:pPr>
      <w:r>
        <w:rPr>
          <w:rFonts w:ascii="黑体" w:eastAsia="黑体"/>
          <w:b/>
          <w:color w:val="000000" w:themeColor="text1"/>
          <w:sz w:val="32"/>
          <w:szCs w:val="32"/>
        </w:rPr>
        <w:t>二、自我评估工作开展情况</w:t>
      </w:r>
    </w:p>
    <w:p w14:paraId="0BDEB338">
      <w:pPr>
        <w:spacing w:line="540" w:lineRule="exact"/>
        <w:ind w:firstLine="600" w:firstLineChars="200"/>
        <w:rPr>
          <w:rFonts w:ascii="KaiTi_GB2312" w:eastAsia="KaiTi_GB2312"/>
          <w:color w:val="000000" w:themeColor="text1"/>
          <w:sz w:val="30"/>
          <w:szCs w:val="30"/>
        </w:rPr>
      </w:pPr>
      <w:r>
        <w:rPr>
          <w:rFonts w:ascii="KaiTi_GB2312" w:eastAsia="KaiTi_GB2312"/>
          <w:color w:val="000000" w:themeColor="text1"/>
          <w:sz w:val="30"/>
          <w:szCs w:val="30"/>
        </w:rPr>
        <w:t>【</w:t>
      </w:r>
      <w:r>
        <w:rPr>
          <w:rFonts w:hint="eastAsia" w:ascii="KaiTi_GB2312" w:eastAsia="KaiTi_GB2312"/>
          <w:color w:val="000000" w:themeColor="text1"/>
          <w:sz w:val="30"/>
          <w:szCs w:val="30"/>
        </w:rPr>
        <w:t>描述自我评估的组织机构、工作流程、日程安排等情况；提供自我评估所选聘的外单位同行评估专家名单；概括描述同行专家对本学位技权点的意见，包括目前存在的问题及相关改进建义。</w:t>
      </w:r>
      <w:r>
        <w:rPr>
          <w:rFonts w:ascii="KaiTi_GB2312" w:eastAsia="KaiTi_GB2312"/>
          <w:color w:val="000000" w:themeColor="text1"/>
          <w:sz w:val="30"/>
          <w:szCs w:val="30"/>
        </w:rPr>
        <w:t>】</w:t>
      </w:r>
    </w:p>
    <w:p w14:paraId="32F45281">
      <w:pPr>
        <w:spacing w:line="540" w:lineRule="exact"/>
        <w:ind w:firstLine="630" w:firstLineChars="196"/>
        <w:rPr>
          <w:rFonts w:ascii="黑体" w:eastAsia="黑体"/>
          <w:b/>
          <w:color w:val="000000" w:themeColor="text1"/>
          <w:sz w:val="32"/>
          <w:szCs w:val="32"/>
        </w:rPr>
      </w:pPr>
      <w:r>
        <w:rPr>
          <w:rFonts w:ascii="黑体" w:eastAsia="黑体"/>
          <w:b/>
          <w:color w:val="000000" w:themeColor="text1"/>
          <w:sz w:val="32"/>
          <w:szCs w:val="32"/>
        </w:rPr>
        <w:t>三、持续改进</w:t>
      </w:r>
      <w:r>
        <w:rPr>
          <w:rFonts w:hint="eastAsia" w:ascii="黑体" w:eastAsia="黑体"/>
          <w:b/>
          <w:color w:val="000000" w:themeColor="text1"/>
          <w:sz w:val="32"/>
          <w:szCs w:val="32"/>
        </w:rPr>
        <w:t>计划</w:t>
      </w:r>
    </w:p>
    <w:p w14:paraId="667C9D38">
      <w:pPr>
        <w:snapToGrid w:val="0"/>
        <w:spacing w:line="540" w:lineRule="exact"/>
        <w:ind w:firstLine="600" w:firstLineChars="200"/>
        <w:rPr>
          <w:rFonts w:ascii="KaiTi_GB2312" w:eastAsia="KaiTi_GB2312"/>
          <w:color w:val="000000" w:themeColor="text1"/>
          <w:sz w:val="30"/>
          <w:szCs w:val="30"/>
        </w:rPr>
      </w:pPr>
      <w:r>
        <w:rPr>
          <w:rFonts w:ascii="KaiTi_GB2312" w:eastAsia="KaiTi_GB2312"/>
          <w:color w:val="000000" w:themeColor="text1"/>
          <w:sz w:val="30"/>
          <w:szCs w:val="30"/>
        </w:rPr>
        <w:t>【针对存在</w:t>
      </w:r>
      <w:r>
        <w:rPr>
          <w:rFonts w:hint="eastAsia" w:ascii="KaiTi_GB2312" w:eastAsia="KaiTi_GB2312"/>
          <w:color w:val="000000" w:themeColor="text1"/>
          <w:sz w:val="30"/>
          <w:szCs w:val="30"/>
        </w:rPr>
        <w:t>的</w:t>
      </w:r>
      <w:r>
        <w:rPr>
          <w:rFonts w:ascii="KaiTi_GB2312" w:eastAsia="KaiTi_GB2312"/>
          <w:color w:val="000000" w:themeColor="text1"/>
          <w:sz w:val="30"/>
          <w:szCs w:val="30"/>
        </w:rPr>
        <w:t>问题，提出本学位授权点的持续改进</w:t>
      </w:r>
      <w:r>
        <w:rPr>
          <w:rFonts w:hint="eastAsia" w:ascii="KaiTi_GB2312" w:eastAsia="KaiTi_GB2312"/>
          <w:color w:val="000000" w:themeColor="text1"/>
          <w:sz w:val="30"/>
          <w:szCs w:val="30"/>
        </w:rPr>
        <w:t>计划</w:t>
      </w:r>
      <w:r>
        <w:rPr>
          <w:rFonts w:ascii="KaiTi_GB2312" w:eastAsia="KaiTi_GB2312"/>
          <w:color w:val="000000" w:themeColor="text1"/>
          <w:sz w:val="30"/>
          <w:szCs w:val="30"/>
        </w:rPr>
        <w:t>，包括未来一段时间的</w:t>
      </w:r>
      <w:r>
        <w:rPr>
          <w:rFonts w:hint="eastAsia" w:ascii="KaiTi_GB2312" w:eastAsia="KaiTi_GB2312"/>
          <w:color w:val="000000" w:themeColor="text1"/>
          <w:sz w:val="30"/>
          <w:szCs w:val="30"/>
        </w:rPr>
        <w:t>发展</w:t>
      </w:r>
      <w:r>
        <w:rPr>
          <w:rFonts w:ascii="KaiTi_GB2312" w:eastAsia="KaiTi_GB2312"/>
          <w:color w:val="000000" w:themeColor="text1"/>
          <w:sz w:val="30"/>
          <w:szCs w:val="30"/>
        </w:rPr>
        <w:t>目标和</w:t>
      </w:r>
      <w:r>
        <w:rPr>
          <w:rFonts w:hint="eastAsia" w:ascii="KaiTi_GB2312" w:eastAsia="KaiTi_GB2312"/>
          <w:color w:val="000000" w:themeColor="text1"/>
          <w:sz w:val="30"/>
          <w:szCs w:val="30"/>
        </w:rPr>
        <w:t>保障措施</w:t>
      </w:r>
      <w:r>
        <w:rPr>
          <w:rFonts w:ascii="KaiTi_GB2312" w:eastAsia="KaiTi_GB2312"/>
          <w:color w:val="000000" w:themeColor="text1"/>
          <w:sz w:val="30"/>
          <w:szCs w:val="30"/>
        </w:rPr>
        <w:t>。】</w:t>
      </w:r>
    </w:p>
    <w:p w14:paraId="1EC54EDA">
      <w:pPr>
        <w:snapToGrid w:val="0"/>
        <w:spacing w:line="540" w:lineRule="exact"/>
        <w:ind w:firstLine="640" w:firstLineChars="200"/>
        <w:rPr>
          <w:rFonts w:eastAsia="方正仿宋简体"/>
          <w:color w:val="000000" w:themeColor="text1"/>
          <w:sz w:val="32"/>
          <w:szCs w:val="32"/>
        </w:rPr>
      </w:pPr>
    </w:p>
    <w:p w14:paraId="07FE05DE">
      <w:pPr>
        <w:snapToGrid w:val="0"/>
        <w:spacing w:line="540" w:lineRule="exact"/>
        <w:ind w:firstLine="600" w:firstLineChars="200"/>
        <w:rPr>
          <w:rFonts w:eastAsia="方正仿宋简体"/>
          <w:color w:val="000000" w:themeColor="text1"/>
          <w:sz w:val="32"/>
          <w:szCs w:val="32"/>
        </w:rPr>
      </w:pPr>
      <w:r>
        <w:rPr>
          <w:rFonts w:hint="eastAsia" w:ascii="KaiTi_GB2312" w:eastAsia="KaiTi_GB2312"/>
          <w:color w:val="000000" w:themeColor="text1"/>
          <w:sz w:val="30"/>
          <w:szCs w:val="30"/>
        </w:rPr>
        <w:t>附：本学位授权点连续5年的培养方案</w:t>
      </w:r>
    </w:p>
    <w:p w14:paraId="14C213EC">
      <w:pPr>
        <w:rPr>
          <w:rFonts w:cs="Times New Roman"/>
          <w:color w:val="000000" w:themeColor="text1"/>
        </w:rPr>
      </w:pPr>
    </w:p>
    <w:p w14:paraId="33137DB6">
      <w:pPr>
        <w:autoSpaceDE w:val="0"/>
        <w:autoSpaceDN w:val="0"/>
        <w:adjustRightInd w:val="0"/>
        <w:spacing w:line="360" w:lineRule="auto"/>
        <w:jc w:val="center"/>
        <w:rPr>
          <w:rFonts w:ascii="黑体" w:hAnsi="黑体" w:eastAsia="黑体" w:cs="Times New Roman"/>
          <w:b/>
          <w:bCs/>
          <w:color w:val="000000" w:themeColor="text1"/>
          <w:kern w:val="0"/>
          <w:sz w:val="44"/>
          <w:szCs w:val="44"/>
          <w:lang w:val="zh-CN"/>
        </w:rPr>
      </w:pPr>
    </w:p>
    <w:p w14:paraId="0B2A9267">
      <w:pPr>
        <w:autoSpaceDE w:val="0"/>
        <w:autoSpaceDN w:val="0"/>
        <w:adjustRightInd w:val="0"/>
        <w:spacing w:line="360" w:lineRule="auto"/>
        <w:rPr>
          <w:rFonts w:ascii="黑体" w:hAnsi="黑体" w:eastAsia="黑体" w:cs="Times New Roman"/>
          <w:b/>
          <w:bCs/>
          <w:color w:val="000000" w:themeColor="text1"/>
          <w:kern w:val="0"/>
          <w:sz w:val="52"/>
          <w:szCs w:val="52"/>
          <w:lang w:val="zh-CN"/>
        </w:rPr>
      </w:pPr>
    </w:p>
    <w:p w14:paraId="60F0CF6F">
      <w:pPr>
        <w:autoSpaceDE w:val="0"/>
        <w:autoSpaceDN w:val="0"/>
        <w:adjustRightInd w:val="0"/>
        <w:spacing w:line="360" w:lineRule="auto"/>
        <w:jc w:val="center"/>
        <w:rPr>
          <w:rFonts w:ascii="黑体" w:hAnsi="黑体" w:eastAsia="黑体" w:cs="Times New Roman"/>
          <w:b/>
          <w:bCs/>
          <w:color w:val="000000" w:themeColor="text1"/>
          <w:kern w:val="0"/>
          <w:sz w:val="52"/>
          <w:szCs w:val="52"/>
          <w:lang w:val="zh-CN"/>
        </w:rPr>
      </w:pPr>
    </w:p>
    <w:p w14:paraId="38CB81E0">
      <w:pPr>
        <w:autoSpaceDE w:val="0"/>
        <w:autoSpaceDN w:val="0"/>
        <w:adjustRightInd w:val="0"/>
        <w:spacing w:line="360" w:lineRule="auto"/>
        <w:jc w:val="center"/>
        <w:rPr>
          <w:rFonts w:ascii="黑体" w:hAnsi="黑体" w:eastAsia="黑体" w:cs="Times New Roman"/>
          <w:b/>
          <w:bCs/>
          <w:color w:val="000000" w:themeColor="text1"/>
          <w:kern w:val="0"/>
          <w:sz w:val="44"/>
          <w:szCs w:val="44"/>
          <w:lang w:val="zh-CN"/>
        </w:rPr>
      </w:pPr>
    </w:p>
    <w:p w14:paraId="285ADF6C">
      <w:pPr>
        <w:autoSpaceDE w:val="0"/>
        <w:autoSpaceDN w:val="0"/>
        <w:adjustRightInd w:val="0"/>
        <w:spacing w:line="360" w:lineRule="auto"/>
        <w:jc w:val="center"/>
        <w:rPr>
          <w:rFonts w:ascii="黑体" w:hAnsi="黑体" w:eastAsia="黑体" w:cs="Times New Roman"/>
          <w:b/>
          <w:bCs/>
          <w:color w:val="000000" w:themeColor="text1"/>
          <w:kern w:val="0"/>
          <w:sz w:val="44"/>
          <w:szCs w:val="44"/>
          <w:lang w:val="zh-CN"/>
        </w:rPr>
      </w:pPr>
    </w:p>
    <w:p w14:paraId="02D6C258">
      <w:pPr>
        <w:autoSpaceDE w:val="0"/>
        <w:autoSpaceDN w:val="0"/>
        <w:adjustRightInd w:val="0"/>
        <w:spacing w:line="360" w:lineRule="auto"/>
        <w:jc w:val="center"/>
        <w:rPr>
          <w:rFonts w:ascii="黑体" w:hAnsi="黑体" w:eastAsia="黑体" w:cs="Times New Roman"/>
          <w:b/>
          <w:bCs/>
          <w:color w:val="000000" w:themeColor="text1"/>
          <w:kern w:val="0"/>
          <w:sz w:val="44"/>
          <w:szCs w:val="44"/>
          <w:lang w:val="zh-CN"/>
        </w:rPr>
      </w:pPr>
    </w:p>
    <w:p w14:paraId="3A5C289F">
      <w:pPr>
        <w:autoSpaceDE w:val="0"/>
        <w:autoSpaceDN w:val="0"/>
        <w:adjustRightInd w:val="0"/>
        <w:spacing w:line="360" w:lineRule="auto"/>
        <w:jc w:val="center"/>
        <w:rPr>
          <w:rFonts w:ascii="黑体" w:hAnsi="黑体" w:eastAsia="黑体" w:cs="Times New Roman"/>
          <w:b/>
          <w:bCs/>
          <w:color w:val="000000" w:themeColor="text1"/>
          <w:kern w:val="0"/>
          <w:sz w:val="44"/>
          <w:szCs w:val="44"/>
          <w:lang w:val="zh-CN"/>
        </w:rPr>
      </w:pPr>
    </w:p>
    <w:p w14:paraId="4B10325E">
      <w:pPr>
        <w:autoSpaceDE w:val="0"/>
        <w:autoSpaceDN w:val="0"/>
        <w:adjustRightInd w:val="0"/>
        <w:spacing w:line="360" w:lineRule="auto"/>
        <w:jc w:val="center"/>
        <w:rPr>
          <w:rFonts w:ascii="黑体" w:hAnsi="黑体" w:eastAsia="黑体" w:cs="Times New Roman"/>
          <w:b/>
          <w:bCs/>
          <w:color w:val="000000" w:themeColor="text1"/>
          <w:kern w:val="0"/>
          <w:sz w:val="44"/>
          <w:szCs w:val="44"/>
          <w:lang w:val="zh-CN"/>
        </w:rPr>
      </w:pPr>
    </w:p>
    <w:p w14:paraId="72BC4429">
      <w:pPr>
        <w:autoSpaceDE w:val="0"/>
        <w:autoSpaceDN w:val="0"/>
        <w:adjustRightInd w:val="0"/>
        <w:spacing w:line="360" w:lineRule="auto"/>
        <w:jc w:val="center"/>
        <w:rPr>
          <w:rFonts w:ascii="黑体" w:hAnsi="黑体" w:eastAsia="黑体" w:cs="Times New Roman"/>
          <w:b/>
          <w:bCs/>
          <w:color w:val="000000" w:themeColor="text1"/>
          <w:kern w:val="0"/>
          <w:sz w:val="44"/>
          <w:szCs w:val="44"/>
          <w:lang w:val="zh-CN"/>
        </w:rPr>
      </w:pPr>
    </w:p>
    <w:p w14:paraId="281EF85F">
      <w:pPr>
        <w:jc w:val="center"/>
        <w:rPr>
          <w:rFonts w:ascii="黑体" w:hAnsi="黑体" w:eastAsia="黑体" w:cs="Times New Roman"/>
          <w:b/>
          <w:bCs/>
          <w:color w:val="000000" w:themeColor="text1"/>
          <w:kern w:val="0"/>
          <w:sz w:val="36"/>
          <w:szCs w:val="36"/>
          <w:lang w:val="zh-CN"/>
        </w:rPr>
      </w:pPr>
    </w:p>
    <w:p w14:paraId="0AC89BCA">
      <w:pPr>
        <w:pStyle w:val="6"/>
        <w:spacing w:after="0" w:line="500" w:lineRule="exact"/>
        <w:ind w:firstLine="840" w:firstLineChars="400"/>
        <w:rPr>
          <w:rFonts w:cs="Times New Roman"/>
          <w:color w:val="000000" w:themeColor="text1"/>
          <w:sz w:val="21"/>
          <w:szCs w:val="21"/>
          <w:lang w:val="zh-CN"/>
        </w:rPr>
        <w:sectPr>
          <w:footerReference r:id="rId4" w:type="first"/>
          <w:footerReference r:id="rId3" w:type="default"/>
          <w:pgSz w:w="11906" w:h="16838"/>
          <w:pgMar w:top="1440" w:right="1797" w:bottom="1440" w:left="1797" w:header="851" w:footer="992" w:gutter="0"/>
          <w:pgNumType w:start="0"/>
          <w:cols w:space="425" w:num="1"/>
          <w:titlePg/>
          <w:docGrid w:type="lines" w:linePitch="312" w:charSpace="0"/>
        </w:sectPr>
      </w:pPr>
    </w:p>
    <w:p w14:paraId="52F97933">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一、学位授权点基本情况</w:t>
      </w:r>
    </w:p>
    <w:p w14:paraId="55396EB6">
      <w:pPr>
        <w:snapToGrid w:val="0"/>
        <w:spacing w:beforeLines="50" w:line="360" w:lineRule="auto"/>
        <w:ind w:firstLine="48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“始有暨南，便有商科”。早在</w:t>
      </w:r>
      <w:r>
        <w:rPr>
          <w:rFonts w:cs="宋体" w:asciiTheme="minorEastAsia" w:hAnsiTheme="minorEastAsia" w:eastAsiaTheme="minorEastAsia"/>
          <w:color w:val="000000" w:themeColor="text1"/>
          <w:sz w:val="28"/>
          <w:szCs w:val="28"/>
        </w:rPr>
        <w:t>1918</w:t>
      </w:r>
      <w:r>
        <w:rPr>
          <w:rFonts w:hint="eastAsia" w:cs="宋体" w:asciiTheme="minorEastAsia" w:hAnsiTheme="minorEastAsia" w:eastAsiaTheme="minorEastAsia"/>
          <w:color w:val="000000" w:themeColor="text1"/>
          <w:sz w:val="28"/>
          <w:szCs w:val="28"/>
        </w:rPr>
        <w:t>年，暨南先贤黄炎培先生敏锐地意识到“盖今世商战、工战，无非学战”，遂促成了学校商科的设立，</w:t>
      </w:r>
      <w:r>
        <w:rPr>
          <w:rFonts w:hint="eastAsia" w:cs="宋体" w:asciiTheme="minorEastAsia" w:hAnsiTheme="minorEastAsia" w:eastAsiaTheme="minorEastAsia"/>
          <w:color w:val="000000" w:themeColor="text1"/>
          <w:kern w:val="0"/>
          <w:sz w:val="28"/>
          <w:szCs w:val="28"/>
          <w:lang w:val="zh-CN"/>
        </w:rPr>
        <w:t>商科教育一直为暨南大学的传统与优势。承此传统与优势，我校于</w:t>
      </w:r>
      <w:r>
        <w:rPr>
          <w:rFonts w:cs="Times New Roman" w:asciiTheme="minorEastAsia" w:hAnsiTheme="minorEastAsia" w:eastAsiaTheme="minorEastAsia"/>
          <w:color w:val="000000" w:themeColor="text1"/>
          <w:kern w:val="0"/>
          <w:sz w:val="28"/>
          <w:szCs w:val="28"/>
          <w:lang w:val="zh-CN"/>
        </w:rPr>
        <w:t>1993</w:t>
      </w:r>
      <w:r>
        <w:rPr>
          <w:rFonts w:hint="eastAsia" w:cs="宋体" w:asciiTheme="minorEastAsia" w:hAnsiTheme="minorEastAsia" w:eastAsiaTheme="minorEastAsia"/>
          <w:color w:val="000000" w:themeColor="text1"/>
          <w:kern w:val="0"/>
          <w:sz w:val="28"/>
          <w:szCs w:val="28"/>
          <w:lang w:val="zh-CN"/>
        </w:rPr>
        <w:t>年获得工商管理硕士（</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）学位点办学权，</w:t>
      </w:r>
      <w:r>
        <w:rPr>
          <w:rFonts w:cs="Times New Roman" w:asciiTheme="minorEastAsia" w:hAnsiTheme="minorEastAsia" w:eastAsiaTheme="minorEastAsia"/>
          <w:color w:val="000000" w:themeColor="text1"/>
          <w:kern w:val="0"/>
          <w:sz w:val="28"/>
          <w:szCs w:val="28"/>
          <w:lang w:val="zh-CN"/>
        </w:rPr>
        <w:t>2002</w:t>
      </w:r>
      <w:r>
        <w:rPr>
          <w:rFonts w:hint="eastAsia" w:cs="宋体" w:asciiTheme="minorEastAsia" w:hAnsiTheme="minorEastAsia" w:eastAsiaTheme="minorEastAsia"/>
          <w:color w:val="000000" w:themeColor="text1"/>
          <w:kern w:val="0"/>
          <w:sz w:val="28"/>
          <w:szCs w:val="28"/>
          <w:lang w:val="zh-CN"/>
        </w:rPr>
        <w:t>年获得高级管理人员工商管理硕士（</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）试点办学权。经过</w:t>
      </w:r>
      <w:r>
        <w:rPr>
          <w:rFonts w:hint="eastAsia" w:cs="Times New Roman" w:asciiTheme="minorEastAsia" w:hAnsiTheme="minorEastAsia" w:eastAsiaTheme="minorEastAsia"/>
          <w:color w:val="000000" w:themeColor="text1"/>
          <w:kern w:val="0"/>
          <w:sz w:val="28"/>
          <w:szCs w:val="28"/>
        </w:rPr>
        <w:t>28</w:t>
      </w:r>
      <w:r>
        <w:rPr>
          <w:rFonts w:hint="eastAsia" w:cs="宋体" w:asciiTheme="minorEastAsia" w:hAnsiTheme="minorEastAsia" w:eastAsiaTheme="minorEastAsia"/>
          <w:color w:val="000000" w:themeColor="text1"/>
          <w:kern w:val="0"/>
          <w:sz w:val="28"/>
          <w:szCs w:val="28"/>
          <w:lang w:val="zh-CN"/>
        </w:rPr>
        <w:t>年的发展与积淀，本项目有了鲜明的特色和突出的优势。</w:t>
      </w:r>
    </w:p>
    <w:p w14:paraId="4C9ED5D9">
      <w:pPr>
        <w:snapToGrid w:val="0"/>
        <w:spacing w:beforeLines="50" w:line="360" w:lineRule="auto"/>
        <w:ind w:firstLine="48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我校工商管理硕士项目坚持以“华商教育</w:t>
      </w:r>
      <w:r>
        <w:rPr>
          <w:rFonts w:cs="宋体" w:asciiTheme="minorEastAsia" w:hAnsiTheme="minorEastAsia" w:eastAsiaTheme="minorEastAsia"/>
          <w:color w:val="000000" w:themeColor="text1"/>
          <w:sz w:val="28"/>
          <w:szCs w:val="28"/>
        </w:rPr>
        <w:t>+</w:t>
      </w:r>
      <w:r>
        <w:rPr>
          <w:rFonts w:hint="eastAsia" w:cs="宋体" w:asciiTheme="minorEastAsia" w:hAnsiTheme="minorEastAsia" w:eastAsiaTheme="minorEastAsia"/>
          <w:color w:val="000000" w:themeColor="text1"/>
          <w:sz w:val="28"/>
          <w:szCs w:val="28"/>
        </w:rPr>
        <w:t>实践导向”为特色，将“让管理者由优秀实现卓越”的华商教育理念贯穿于学员的学习生涯中。独创的“三三制”教学模式让学员的学习收获来自课堂教学、同学交流以及企业考察和移动课堂；多元教学突破传统课堂教学方法，延伸课外全方位交流平台。</w:t>
      </w:r>
    </w:p>
    <w:p w14:paraId="0402AEBB">
      <w:pPr>
        <w:autoSpaceDE w:val="0"/>
        <w:autoSpaceDN w:val="0"/>
        <w:adjustRightInd w:val="0"/>
        <w:spacing w:line="360" w:lineRule="auto"/>
        <w:ind w:firstLine="420" w:firstLineChars="150"/>
        <w:rPr>
          <w:rFonts w:cs="Times New Roman" w:asciiTheme="minorEastAsia" w:hAnsiTheme="minorEastAsia" w:eastAsiaTheme="minorEastAsia"/>
          <w:color w:val="000000" w:themeColor="text1"/>
          <w:kern w:val="0"/>
          <w:sz w:val="28"/>
          <w:szCs w:val="28"/>
          <w:lang w:val="zh-CN"/>
        </w:rPr>
      </w:pPr>
    </w:p>
    <w:p w14:paraId="50B89EDF">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（一）目标与标准</w:t>
      </w:r>
      <w:r>
        <w:rPr>
          <w:rFonts w:cs="Times New Roman" w:asciiTheme="minorEastAsia" w:hAnsiTheme="minorEastAsia" w:eastAsiaTheme="minorEastAsia"/>
          <w:b/>
          <w:bCs/>
          <w:color w:val="000000" w:themeColor="text1"/>
          <w:kern w:val="0"/>
          <w:sz w:val="28"/>
          <w:szCs w:val="28"/>
          <w:lang w:val="zh-CN"/>
        </w:rPr>
        <w:tab/>
      </w:r>
    </w:p>
    <w:p w14:paraId="389F9D53">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1.培养目标</w:t>
      </w:r>
      <w:r>
        <w:rPr>
          <w:rFonts w:cs="Times New Roman" w:asciiTheme="minorEastAsia" w:hAnsiTheme="minorEastAsia" w:eastAsiaTheme="minorEastAsia"/>
          <w:b/>
          <w:bCs/>
          <w:color w:val="000000" w:themeColor="text1"/>
          <w:kern w:val="0"/>
          <w:sz w:val="28"/>
          <w:szCs w:val="28"/>
          <w:lang w:val="zh-CN"/>
        </w:rPr>
        <w:tab/>
      </w:r>
    </w:p>
    <w:p w14:paraId="3332AB2D">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本学位点整合校内外教育资源，秉承暨南大学作为“华侨最高学府”的“面向海外，面向港澳台”的办学方针，以及管理学院</w:t>
      </w:r>
      <w:r>
        <w:rPr>
          <w:rFonts w:hint="eastAsia" w:cs="宋体" w:asciiTheme="minorEastAsia" w:hAnsiTheme="minorEastAsia" w:eastAsiaTheme="minorEastAsia"/>
          <w:b/>
          <w:bCs/>
          <w:color w:val="000000" w:themeColor="text1"/>
          <w:kern w:val="0"/>
          <w:sz w:val="28"/>
          <w:szCs w:val="28"/>
          <w:lang w:val="zh-CN"/>
        </w:rPr>
        <w:t>“融合、提炼中华管理智慧，为世界培养熟谙中华文化的管理精英”</w:t>
      </w:r>
      <w:r>
        <w:rPr>
          <w:rFonts w:hint="eastAsia" w:cs="宋体" w:asciiTheme="minorEastAsia" w:hAnsiTheme="minorEastAsia" w:eastAsiaTheme="minorEastAsia"/>
          <w:color w:val="000000" w:themeColor="text1"/>
          <w:kern w:val="0"/>
          <w:sz w:val="28"/>
          <w:szCs w:val="28"/>
          <w:lang w:val="zh-CN"/>
        </w:rPr>
        <w:t>的使命，定位体现着大学和学院赋予工商管理硕士教育的战略意义。本学位点的定位是“</w:t>
      </w:r>
      <w:r>
        <w:rPr>
          <w:rFonts w:hint="eastAsia" w:cs="宋体" w:asciiTheme="minorEastAsia" w:hAnsiTheme="minorEastAsia" w:eastAsiaTheme="minorEastAsia"/>
          <w:b/>
          <w:bCs/>
          <w:color w:val="000000" w:themeColor="text1"/>
          <w:kern w:val="0"/>
          <w:sz w:val="28"/>
          <w:szCs w:val="28"/>
          <w:lang w:val="zh-CN"/>
        </w:rPr>
        <w:t>根植于注重实践应用的暨南商科教育传统，建设兼具中华文化特征和国际影响力的工商管理硕士项目</w:t>
      </w:r>
      <w:r>
        <w:rPr>
          <w:rFonts w:hint="eastAsia" w:cs="宋体" w:asciiTheme="minorEastAsia" w:hAnsiTheme="minorEastAsia" w:eastAsiaTheme="minorEastAsia"/>
          <w:color w:val="000000" w:themeColor="text1"/>
          <w:kern w:val="0"/>
          <w:sz w:val="28"/>
          <w:szCs w:val="28"/>
          <w:lang w:val="zh-CN"/>
        </w:rPr>
        <w:t>”。</w:t>
      </w:r>
    </w:p>
    <w:p w14:paraId="1DE352B3">
      <w:pPr>
        <w:autoSpaceDE w:val="0"/>
        <w:autoSpaceDN w:val="0"/>
        <w:adjustRightInd w:val="0"/>
        <w:spacing w:line="360" w:lineRule="auto"/>
        <w:rPr>
          <w:rFonts w:cs="Times New Roman" w:asciiTheme="minorEastAsia" w:hAnsiTheme="minorEastAsia" w:eastAsiaTheme="minorEastAsia"/>
          <w:color w:val="000000" w:themeColor="text1"/>
          <w:kern w:val="0"/>
          <w:sz w:val="28"/>
          <w:szCs w:val="28"/>
          <w:lang w:val="zh-CN"/>
        </w:rPr>
      </w:pPr>
    </w:p>
    <w:p w14:paraId="7A0FB46C">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2.学位标准</w:t>
      </w:r>
      <w:r>
        <w:rPr>
          <w:rFonts w:cs="Times New Roman" w:asciiTheme="minorEastAsia" w:hAnsiTheme="minorEastAsia" w:eastAsiaTheme="minorEastAsia"/>
          <w:b/>
          <w:bCs/>
          <w:color w:val="000000" w:themeColor="text1"/>
          <w:kern w:val="0"/>
          <w:sz w:val="28"/>
          <w:szCs w:val="28"/>
          <w:lang w:val="zh-CN"/>
        </w:rPr>
        <w:tab/>
      </w:r>
    </w:p>
    <w:p w14:paraId="5E035E75">
      <w:pPr>
        <w:spacing w:line="360" w:lineRule="auto"/>
        <w:ind w:firstLine="551" w:firstLineChars="196"/>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1</w:t>
      </w:r>
      <w:r>
        <w:rPr>
          <w:rFonts w:hint="eastAsia" w:cs="宋体" w:asciiTheme="minorEastAsia" w:hAnsiTheme="minorEastAsia" w:eastAsiaTheme="minorEastAsia"/>
          <w:b/>
          <w:bCs/>
          <w:color w:val="000000" w:themeColor="text1"/>
          <w:sz w:val="28"/>
          <w:szCs w:val="28"/>
        </w:rPr>
        <w:t>）具备基本素质</w:t>
      </w:r>
    </w:p>
    <w:p w14:paraId="36DEA1EC">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本学位点要求获得学位者应具有良好的学术道德和商业道德；具有企业公民意识、社会责任意识和可持续发展意识；具有人文精神、科学精神和创业精神。</w:t>
      </w:r>
    </w:p>
    <w:p w14:paraId="47C82905">
      <w:pPr>
        <w:spacing w:line="360" w:lineRule="auto"/>
        <w:ind w:firstLine="551" w:firstLineChars="196"/>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2</w:t>
      </w:r>
      <w:r>
        <w:rPr>
          <w:rFonts w:hint="eastAsia" w:cs="宋体" w:asciiTheme="minorEastAsia" w:hAnsiTheme="minorEastAsia" w:eastAsiaTheme="minorEastAsia"/>
          <w:b/>
          <w:bCs/>
          <w:color w:val="000000" w:themeColor="text1"/>
          <w:sz w:val="28"/>
          <w:szCs w:val="28"/>
        </w:rPr>
        <w:t>）获得基础知识与专业知识</w:t>
      </w:r>
    </w:p>
    <w:p w14:paraId="482497B0">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①基础知识。学生应掌握现代经济学和管理学的基础理论知识，如管理经济学、外语和组织行为学；掌握企业管理所需的基本分析方法与工具，如统计分析和决策分析。</w:t>
      </w:r>
    </w:p>
    <w:p w14:paraId="2268A177">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②专业知识。学生应掌握综合管理或职能管理岗位所需要的专业知识，如财务、营销、运营、人力资源管理等，还应掌握与企业综合管理相联系的专业知识，如领导、决策、创业、公司治理、战略等。</w:t>
      </w:r>
    </w:p>
    <w:p w14:paraId="42C6AD5B">
      <w:pPr>
        <w:spacing w:line="360" w:lineRule="auto"/>
        <w:ind w:firstLine="551" w:firstLineChars="196"/>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3</w:t>
      </w:r>
      <w:r>
        <w:rPr>
          <w:rFonts w:hint="eastAsia" w:cs="宋体" w:asciiTheme="minorEastAsia" w:hAnsiTheme="minorEastAsia" w:eastAsiaTheme="minorEastAsia"/>
          <w:b/>
          <w:bCs/>
          <w:color w:val="000000" w:themeColor="text1"/>
          <w:sz w:val="28"/>
          <w:szCs w:val="28"/>
        </w:rPr>
        <w:t>）接受实践训练</w:t>
      </w:r>
    </w:p>
    <w:p w14:paraId="0A8238C2">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实践教学是工商管理硕士研究生培养中的重要环节之一。实践形式包括基于项目的学习（</w:t>
      </w:r>
      <w:r>
        <w:rPr>
          <w:rFonts w:cs="Times New Roman" w:asciiTheme="minorEastAsia" w:hAnsiTheme="minorEastAsia" w:eastAsiaTheme="minorEastAsia"/>
          <w:color w:val="000000" w:themeColor="text1"/>
          <w:kern w:val="0"/>
          <w:sz w:val="28"/>
          <w:szCs w:val="28"/>
          <w:lang w:val="zh-CN"/>
        </w:rPr>
        <w:t>PBL</w:t>
      </w:r>
      <w:r>
        <w:rPr>
          <w:rFonts w:hint="eastAsia" w:cs="宋体" w:asciiTheme="minorEastAsia" w:hAnsiTheme="minorEastAsia" w:eastAsiaTheme="minorEastAsia"/>
          <w:color w:val="000000" w:themeColor="text1"/>
          <w:kern w:val="0"/>
          <w:sz w:val="28"/>
          <w:szCs w:val="28"/>
          <w:lang w:val="zh-CN"/>
        </w:rPr>
        <w:t>）、商业实战大赛（</w:t>
      </w:r>
      <w:r>
        <w:rPr>
          <w:rFonts w:cs="Times New Roman" w:asciiTheme="minorEastAsia" w:hAnsiTheme="minorEastAsia" w:eastAsiaTheme="minorEastAsia"/>
          <w:color w:val="000000" w:themeColor="text1"/>
          <w:kern w:val="0"/>
          <w:sz w:val="28"/>
          <w:szCs w:val="28"/>
          <w:lang w:val="zh-CN"/>
        </w:rPr>
        <w:t>E</w:t>
      </w:r>
      <w:r>
        <w:rPr>
          <w:rFonts w:hint="eastAsia" w:cs="宋体" w:asciiTheme="minorEastAsia" w:hAnsiTheme="minorEastAsia" w:eastAsiaTheme="minorEastAsia"/>
          <w:color w:val="000000" w:themeColor="text1"/>
          <w:kern w:val="0"/>
          <w:sz w:val="28"/>
          <w:szCs w:val="28"/>
          <w:lang w:val="zh-CN"/>
        </w:rPr>
        <w:t>战成名）、移动课堂（知行团）等形式。通过实践环节应达到基本熟悉本行业工作流程和相关职业及技术规范，培养实践研究和技术创新能力。</w:t>
      </w:r>
    </w:p>
    <w:p w14:paraId="556369A5">
      <w:pPr>
        <w:spacing w:line="360" w:lineRule="auto"/>
        <w:ind w:firstLine="551" w:firstLineChars="196"/>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4</w:t>
      </w:r>
      <w:r>
        <w:rPr>
          <w:rFonts w:hint="eastAsia" w:cs="宋体" w:asciiTheme="minorEastAsia" w:hAnsiTheme="minorEastAsia" w:eastAsiaTheme="minorEastAsia"/>
          <w:b/>
          <w:bCs/>
          <w:color w:val="000000" w:themeColor="text1"/>
          <w:sz w:val="28"/>
          <w:szCs w:val="28"/>
        </w:rPr>
        <w:t>）掌握基本能力</w:t>
      </w:r>
    </w:p>
    <w:p w14:paraId="6680BC9F">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学生应具有在全球视野下把握全局的战略思维和分析能力；具有解决复杂问题的科学决策能力；具有团队意识和沟通能力；具有创新能力和组织领导能力。</w:t>
      </w:r>
    </w:p>
    <w:p w14:paraId="3E858331">
      <w:pPr>
        <w:spacing w:line="360" w:lineRule="auto"/>
        <w:ind w:firstLine="562" w:firstLineChars="200"/>
        <w:rPr>
          <w:rFonts w:cs="Times New Roman"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w:t>
      </w:r>
      <w:r>
        <w:rPr>
          <w:rFonts w:cs="Times New Roman" w:asciiTheme="minorEastAsia" w:hAnsiTheme="minorEastAsia" w:eastAsiaTheme="minorEastAsia"/>
          <w:b/>
          <w:bCs/>
          <w:color w:val="000000" w:themeColor="text1"/>
          <w:sz w:val="28"/>
          <w:szCs w:val="28"/>
        </w:rPr>
        <w:t>5</w:t>
      </w:r>
      <w:r>
        <w:rPr>
          <w:rFonts w:hint="eastAsia" w:cs="宋体" w:asciiTheme="minorEastAsia" w:hAnsiTheme="minorEastAsia" w:eastAsiaTheme="minorEastAsia"/>
          <w:b/>
          <w:bCs/>
          <w:color w:val="000000" w:themeColor="text1"/>
          <w:sz w:val="28"/>
          <w:szCs w:val="28"/>
        </w:rPr>
        <w:t>）学位论文基本要求</w:t>
      </w:r>
    </w:p>
    <w:p w14:paraId="136BE00F">
      <w:pPr>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论文应具备一定的学术要求和实践性，体现作者综合运用科学理论、方法和技术手段解决商业实践问题的能力。</w:t>
      </w:r>
    </w:p>
    <w:p w14:paraId="6CA33002">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sz w:val="28"/>
          <w:szCs w:val="28"/>
        </w:rPr>
        <w:t>①</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学位点总学分要求为</w:t>
      </w:r>
      <w:r>
        <w:rPr>
          <w:rFonts w:cs="Times New Roman" w:asciiTheme="minorEastAsia" w:hAnsiTheme="minorEastAsia" w:eastAsiaTheme="minorEastAsia"/>
          <w:color w:val="000000" w:themeColor="text1"/>
          <w:kern w:val="0"/>
          <w:sz w:val="28"/>
          <w:szCs w:val="28"/>
          <w:lang w:val="zh-CN"/>
        </w:rPr>
        <w:t>46</w:t>
      </w:r>
      <w:r>
        <w:rPr>
          <w:rFonts w:hint="eastAsia" w:cs="宋体" w:asciiTheme="minorEastAsia" w:hAnsiTheme="minorEastAsia" w:eastAsiaTheme="minorEastAsia"/>
          <w:color w:val="000000" w:themeColor="text1"/>
          <w:kern w:val="0"/>
          <w:sz w:val="28"/>
          <w:szCs w:val="28"/>
          <w:lang w:val="zh-CN"/>
        </w:rPr>
        <w:t>学分，其中必修课程</w:t>
      </w:r>
      <w:r>
        <w:rPr>
          <w:rFonts w:cs="Times New Roman" w:asciiTheme="minorEastAsia" w:hAnsiTheme="minorEastAsia" w:eastAsiaTheme="minorEastAsia"/>
          <w:color w:val="000000" w:themeColor="text1"/>
          <w:kern w:val="0"/>
          <w:sz w:val="28"/>
          <w:szCs w:val="28"/>
          <w:lang w:val="zh-CN"/>
        </w:rPr>
        <w:t>30</w:t>
      </w:r>
      <w:r>
        <w:rPr>
          <w:rFonts w:hint="eastAsia" w:cs="宋体" w:asciiTheme="minorEastAsia" w:hAnsiTheme="minorEastAsia" w:eastAsiaTheme="minorEastAsia"/>
          <w:color w:val="000000" w:themeColor="text1"/>
          <w:kern w:val="0"/>
          <w:sz w:val="28"/>
          <w:szCs w:val="28"/>
          <w:lang w:val="zh-CN"/>
        </w:rPr>
        <w:t>学分，选修课程至少修满</w:t>
      </w:r>
      <w:r>
        <w:rPr>
          <w:rFonts w:cs="Times New Roman" w:asciiTheme="minorEastAsia" w:hAnsiTheme="minorEastAsia" w:eastAsiaTheme="minorEastAsia"/>
          <w:color w:val="000000" w:themeColor="text1"/>
          <w:kern w:val="0"/>
          <w:sz w:val="28"/>
          <w:szCs w:val="28"/>
          <w:lang w:val="zh-CN"/>
        </w:rPr>
        <w:t>12</w:t>
      </w:r>
      <w:r>
        <w:rPr>
          <w:rFonts w:hint="eastAsia" w:cs="宋体" w:asciiTheme="minorEastAsia" w:hAnsiTheme="minorEastAsia" w:eastAsiaTheme="minorEastAsia"/>
          <w:color w:val="000000" w:themeColor="text1"/>
          <w:kern w:val="0"/>
          <w:sz w:val="28"/>
          <w:szCs w:val="28"/>
          <w:lang w:val="zh-CN"/>
        </w:rPr>
        <w:t>学分，毕业论文</w:t>
      </w:r>
      <w:r>
        <w:rPr>
          <w:rFonts w:cs="Times New Roman" w:asciiTheme="minorEastAsia" w:hAnsiTheme="minorEastAsia" w:eastAsiaTheme="minorEastAsia"/>
          <w:color w:val="000000" w:themeColor="text1"/>
          <w:kern w:val="0"/>
          <w:sz w:val="28"/>
          <w:szCs w:val="28"/>
          <w:lang w:val="zh-CN"/>
        </w:rPr>
        <w:t>4</w:t>
      </w:r>
      <w:r>
        <w:rPr>
          <w:rFonts w:hint="eastAsia" w:cs="宋体" w:asciiTheme="minorEastAsia" w:hAnsiTheme="minorEastAsia" w:eastAsiaTheme="minorEastAsia"/>
          <w:color w:val="000000" w:themeColor="text1"/>
          <w:kern w:val="0"/>
          <w:sz w:val="28"/>
          <w:szCs w:val="28"/>
          <w:lang w:val="zh-CN"/>
        </w:rPr>
        <w:t>学分。学生修满</w:t>
      </w:r>
      <w:r>
        <w:rPr>
          <w:rFonts w:cs="Times New Roman" w:asciiTheme="minorEastAsia" w:hAnsiTheme="minorEastAsia" w:eastAsiaTheme="minorEastAsia"/>
          <w:color w:val="000000" w:themeColor="text1"/>
          <w:kern w:val="0"/>
          <w:sz w:val="28"/>
          <w:szCs w:val="28"/>
          <w:lang w:val="zh-CN"/>
        </w:rPr>
        <w:t>42</w:t>
      </w:r>
      <w:r>
        <w:rPr>
          <w:rFonts w:hint="eastAsia" w:cs="宋体" w:asciiTheme="minorEastAsia" w:hAnsiTheme="minorEastAsia" w:eastAsiaTheme="minorEastAsia"/>
          <w:color w:val="000000" w:themeColor="text1"/>
          <w:kern w:val="0"/>
          <w:sz w:val="28"/>
          <w:szCs w:val="28"/>
          <w:lang w:val="zh-CN"/>
        </w:rPr>
        <w:t>学分后进入论文阶段。完成毕业论文，且通过论文答辩方可申请授予</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学位。</w:t>
      </w:r>
    </w:p>
    <w:p w14:paraId="523EF002">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sz w:val="28"/>
          <w:szCs w:val="28"/>
        </w:rPr>
        <w:t>②</w:t>
      </w:r>
      <w:r>
        <w:rPr>
          <w:rFonts w:cs="Times New Roman" w:asciiTheme="minorEastAsia" w:hAnsiTheme="minorEastAsia" w:eastAsiaTheme="minorEastAsia"/>
          <w:color w:val="000000" w:themeColor="text1"/>
          <w:kern w:val="0"/>
          <w:sz w:val="28"/>
          <w:szCs w:val="28"/>
          <w:lang w:val="zh-CN"/>
        </w:rPr>
        <w:t>EMBA</w:t>
      </w:r>
      <w:r>
        <w:rPr>
          <w:rFonts w:hint="eastAsia" w:cs="Times New Roman" w:asciiTheme="minorEastAsia" w:hAnsiTheme="minorEastAsia" w:eastAsiaTheme="minorEastAsia"/>
          <w:color w:val="000000" w:themeColor="text1"/>
          <w:kern w:val="0"/>
          <w:sz w:val="28"/>
          <w:szCs w:val="28"/>
          <w:lang w:val="zh-CN"/>
        </w:rPr>
        <w:t>学位点总学分要求为44</w:t>
      </w:r>
      <w:r>
        <w:rPr>
          <w:rFonts w:hint="eastAsia" w:cs="宋体" w:asciiTheme="minorEastAsia" w:hAnsiTheme="minorEastAsia" w:eastAsiaTheme="minorEastAsia"/>
          <w:color w:val="000000" w:themeColor="text1"/>
          <w:kern w:val="0"/>
          <w:sz w:val="28"/>
          <w:szCs w:val="28"/>
          <w:lang w:val="zh-CN"/>
        </w:rPr>
        <w:t>学分，其中必修课程</w:t>
      </w:r>
      <w:r>
        <w:rPr>
          <w:rFonts w:hint="eastAsia" w:cs="Times New Roman" w:asciiTheme="minorEastAsia" w:hAnsiTheme="minorEastAsia" w:eastAsiaTheme="minorEastAsia"/>
          <w:color w:val="000000" w:themeColor="text1"/>
          <w:kern w:val="0"/>
          <w:sz w:val="28"/>
          <w:szCs w:val="28"/>
          <w:lang w:val="zh-CN"/>
        </w:rPr>
        <w:t>29</w:t>
      </w:r>
      <w:r>
        <w:rPr>
          <w:rFonts w:hint="eastAsia" w:cs="宋体" w:asciiTheme="minorEastAsia" w:hAnsiTheme="minorEastAsia" w:eastAsiaTheme="minorEastAsia"/>
          <w:color w:val="000000" w:themeColor="text1"/>
          <w:kern w:val="0"/>
          <w:sz w:val="28"/>
          <w:szCs w:val="28"/>
          <w:lang w:val="zh-CN"/>
        </w:rPr>
        <w:t>学分，选修课程至少修满9学分，毕业论文6学分。学生修满38学分后进入论文阶段，完成毕业论文，且通过论文答辩方可申请授予</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学位。</w:t>
      </w:r>
    </w:p>
    <w:p w14:paraId="3880CB72">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p>
    <w:p w14:paraId="004AE2D5">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（二）基本条件</w:t>
      </w:r>
      <w:r>
        <w:rPr>
          <w:rFonts w:cs="Times New Roman" w:asciiTheme="minorEastAsia" w:hAnsiTheme="minorEastAsia" w:eastAsiaTheme="minorEastAsia"/>
          <w:b/>
          <w:bCs/>
          <w:color w:val="000000" w:themeColor="text1"/>
          <w:kern w:val="0"/>
          <w:sz w:val="28"/>
          <w:szCs w:val="28"/>
          <w:lang w:val="zh-CN"/>
        </w:rPr>
        <w:tab/>
      </w:r>
    </w:p>
    <w:p w14:paraId="19189A71">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rPr>
      </w:pPr>
      <w:r>
        <w:rPr>
          <w:rFonts w:cs="宋体"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lang w:val="zh-CN"/>
        </w:rPr>
        <w:t>培养特色</w:t>
      </w:r>
    </w:p>
    <w:p w14:paraId="3A357BB0">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根据国家学位体系设置，本学位点依托暨南大学的广州石牌校区、深圳校区、珠海校区下设全日制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（英文）、非全日制</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rPr>
        <w:t>广州</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、非全日制</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rPr>
        <w:t>深圳</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非全日制</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lang w:val="zh-CN"/>
        </w:rPr>
        <w:t>（</w:t>
      </w:r>
      <w:r>
        <w:rPr>
          <w:rFonts w:hint="eastAsia" w:cs="Times New Roman" w:asciiTheme="minorEastAsia" w:hAnsiTheme="minorEastAsia" w:eastAsiaTheme="minorEastAsia"/>
          <w:color w:val="000000" w:themeColor="text1"/>
          <w:kern w:val="0"/>
          <w:sz w:val="28"/>
          <w:szCs w:val="28"/>
        </w:rPr>
        <w:t>珠海</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非全日制</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rPr>
        <w:t>五</w:t>
      </w:r>
      <w:r>
        <w:rPr>
          <w:rFonts w:hint="eastAsia" w:cs="宋体" w:asciiTheme="minorEastAsia" w:hAnsiTheme="minorEastAsia" w:eastAsiaTheme="minorEastAsia"/>
          <w:color w:val="000000" w:themeColor="text1"/>
          <w:kern w:val="0"/>
          <w:sz w:val="28"/>
          <w:szCs w:val="28"/>
          <w:lang w:val="zh-CN"/>
        </w:rPr>
        <w:t>大培养方向。</w:t>
      </w:r>
    </w:p>
    <w:p w14:paraId="606A41C1">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粤港澳大湾区是我国乃至世界的重要经济中心区域。这里聚集了大量的人力、智力以及资本，吸引了一批具有全球竞争力的企业，以及来自世界各地的外商投资，对外贸易活跃。在这个背景下，暨南大学的MBA和EMBA项目本着学校“面向海外、面向港澳台”的办学方针，形成了自身鲜明的特色。</w:t>
      </w:r>
    </w:p>
    <w:p w14:paraId="7BD1CCA4">
      <w:pPr>
        <w:autoSpaceDE w:val="0"/>
        <w:autoSpaceDN w:val="0"/>
        <w:adjustRightInd w:val="0"/>
        <w:spacing w:line="360" w:lineRule="auto"/>
        <w:ind w:left="480"/>
        <w:rPr>
          <w:rFonts w:cs="宋体"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（1）“三三制”的教育模式</w:t>
      </w:r>
    </w:p>
    <w:p w14:paraId="05CB7D6D">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暨南大学独特的“三三制”教学理念，强调三分之一的收获来自课堂上教师的讲授，三分之一来自同学之间的交流，三分之一来自课外的训练和向校外专业人士的学习，突出终身学习的华商教育理念。</w:t>
      </w:r>
    </w:p>
    <w:p w14:paraId="36B5BA0A">
      <w:pPr>
        <w:pStyle w:val="11"/>
        <w:spacing w:line="360" w:lineRule="auto"/>
        <w:ind w:firstLine="551" w:firstLineChars="196"/>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（2）实践导向的教学理念</w:t>
      </w:r>
    </w:p>
    <w:p w14:paraId="2A805958">
      <w:pPr>
        <w:spacing w:line="360" w:lineRule="auto"/>
        <w:ind w:firstLine="560" w:firstLineChars="20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在课程设置与实施方面，严格遵守学校专业学位培养方案细则，注重培养学生的知识体系、文化洞察力。每隔</w:t>
      </w:r>
      <w:r>
        <w:rPr>
          <w:rFonts w:cs="宋体" w:asciiTheme="minorEastAsia" w:hAnsiTheme="minorEastAsia" w:eastAsiaTheme="minorEastAsia"/>
          <w:color w:val="000000" w:themeColor="text1"/>
          <w:sz w:val="28"/>
          <w:szCs w:val="28"/>
        </w:rPr>
        <w:t>3</w:t>
      </w:r>
      <w:r>
        <w:rPr>
          <w:rFonts w:hint="eastAsia" w:cs="宋体" w:asciiTheme="minorEastAsia" w:hAnsiTheme="minorEastAsia" w:eastAsiaTheme="minorEastAsia"/>
          <w:color w:val="000000" w:themeColor="text1"/>
          <w:sz w:val="28"/>
          <w:szCs w:val="28"/>
        </w:rPr>
        <w:t>年，</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项目根据学生、校友、教师和雇主等利益相关者的意见和建议调整课程体系，不断加强课程的实践导向。同时，从课程、师资、案例、教学模式等环节不断进行完善。</w:t>
      </w:r>
    </w:p>
    <w:p w14:paraId="440C6F72">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鉴于案例在</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教学中的重要地位，学院在</w:t>
      </w:r>
      <w:r>
        <w:rPr>
          <w:rFonts w:cs="宋体" w:asciiTheme="minorEastAsia" w:hAnsiTheme="minorEastAsia" w:eastAsiaTheme="minorEastAsia"/>
          <w:color w:val="000000" w:themeColor="text1"/>
          <w:sz w:val="28"/>
          <w:szCs w:val="28"/>
        </w:rPr>
        <w:t>2009</w:t>
      </w:r>
      <w:r>
        <w:rPr>
          <w:rFonts w:hint="eastAsia" w:cs="宋体" w:asciiTheme="minorEastAsia" w:hAnsiTheme="minorEastAsia" w:eastAsiaTheme="minorEastAsia"/>
          <w:color w:val="000000" w:themeColor="text1"/>
          <w:sz w:val="28"/>
          <w:szCs w:val="28"/>
        </w:rPr>
        <w:t>年创造性地设立了“华商管理案例基金”，支持教师和学生从事案例创作、参与案例教学方面的培训项目和案例竞赛。在“华商管理案例基金”的资助下，管理学院共有18篇案例入选了“全国百优管理案例”，名列华南地区前茅。</w:t>
      </w:r>
    </w:p>
    <w:p w14:paraId="2331D44A">
      <w:pPr>
        <w:pStyle w:val="11"/>
        <w:spacing w:line="360" w:lineRule="auto"/>
        <w:ind w:firstLine="551" w:firstLineChars="196"/>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（3）国际化的中国化</w:t>
      </w:r>
    </w:p>
    <w:p w14:paraId="7EC5C78A">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随着全球经济一体化的发展，企业不断拓展海外市场。</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项目根据市场地位和传统的优势，在加强学生的中华管理和商业文化的同时，积极促进项目的国际化和多元化。全英语授课的全日制</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项目坚持强化与企业在学生培养过程与就业过程中的合作。有针对性地与有国际化人才需求的跨国公司建立合作关系，吸引了大量外籍学生以及有志于从事国际化管理工作的本土学生。</w:t>
      </w:r>
    </w:p>
    <w:p w14:paraId="5E05F2EF">
      <w:pPr>
        <w:pStyle w:val="11"/>
        <w:spacing w:line="360" w:lineRule="auto"/>
        <w:ind w:firstLine="551" w:firstLineChars="196"/>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（4）互动式的交流平台</w:t>
      </w:r>
    </w:p>
    <w:p w14:paraId="1B460EFE">
      <w:pPr>
        <w:pStyle w:val="11"/>
        <w:spacing w:line="360" w:lineRule="auto"/>
        <w:ind w:firstLine="560"/>
        <w:rPr>
          <w:rFonts w:asciiTheme="minorEastAsia" w:hAnsiTheme="minorEastAsia" w:eastAsiaTheme="minorEastAsia"/>
          <w:color w:val="000000" w:themeColor="text1"/>
          <w:sz w:val="28"/>
          <w:szCs w:val="28"/>
        </w:rPr>
      </w:pP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项目通过丰富多彩的学生活动、校友组织以及</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“校友导师计划”和</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PBL</w:t>
      </w:r>
      <w:r>
        <w:rPr>
          <w:rFonts w:hint="eastAsia" w:cs="宋体" w:asciiTheme="minorEastAsia" w:hAnsiTheme="minorEastAsia" w:eastAsiaTheme="minorEastAsia"/>
          <w:color w:val="000000" w:themeColor="text1"/>
          <w:sz w:val="28"/>
          <w:szCs w:val="28"/>
        </w:rPr>
        <w:t>”项目、</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E</w:t>
      </w:r>
      <w:r>
        <w:rPr>
          <w:rFonts w:hint="eastAsia" w:cs="宋体" w:asciiTheme="minorEastAsia" w:hAnsiTheme="minorEastAsia" w:eastAsiaTheme="minorEastAsia"/>
          <w:color w:val="000000" w:themeColor="text1"/>
          <w:sz w:val="28"/>
          <w:szCs w:val="28"/>
        </w:rPr>
        <w:t>战成名”等活动，构建了独特的学生、老师、校友和企业的交流平台，促进了交流和发展。</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和</w:t>
      </w:r>
      <w:r>
        <w:rPr>
          <w:rFonts w:cs="宋体" w:asciiTheme="minorEastAsia" w:hAnsiTheme="minorEastAsia" w:eastAsiaTheme="minorEastAsia"/>
          <w:color w:val="000000" w:themeColor="text1"/>
          <w:sz w:val="28"/>
          <w:szCs w:val="28"/>
        </w:rPr>
        <w:t>EMBA</w:t>
      </w:r>
      <w:r>
        <w:rPr>
          <w:rFonts w:hint="eastAsia" w:cs="宋体" w:asciiTheme="minorEastAsia" w:hAnsiTheme="minorEastAsia" w:eastAsiaTheme="minorEastAsia"/>
          <w:color w:val="000000" w:themeColor="text1"/>
          <w:sz w:val="28"/>
          <w:szCs w:val="28"/>
        </w:rPr>
        <w:t>项目为学生和校友构建的交流平台极大</w:t>
      </w:r>
      <w:r>
        <w:rPr>
          <w:rFonts w:hint="eastAsia" w:cs="宋体" w:asciiTheme="minorEastAsia" w:hAnsiTheme="minorEastAsia" w:eastAsiaTheme="minorEastAsia"/>
          <w:color w:val="000000" w:themeColor="text1"/>
          <w:sz w:val="28"/>
          <w:szCs w:val="28"/>
          <w:lang w:val="en-US" w:eastAsia="zh-CN"/>
        </w:rPr>
        <w:t>地</w:t>
      </w:r>
      <w:r>
        <w:rPr>
          <w:rFonts w:hint="eastAsia" w:cs="宋体" w:asciiTheme="minorEastAsia" w:hAnsiTheme="minorEastAsia" w:eastAsiaTheme="minorEastAsia"/>
          <w:color w:val="000000" w:themeColor="text1"/>
          <w:sz w:val="28"/>
          <w:szCs w:val="28"/>
        </w:rPr>
        <w:t>满足了利益相关者的需要，力求校友资源最大化共享与整合，超过</w:t>
      </w:r>
      <w:r>
        <w:rPr>
          <w:rFonts w:cs="宋体" w:asciiTheme="minorEastAsia" w:hAnsiTheme="minorEastAsia" w:eastAsiaTheme="minorEastAsia"/>
          <w:color w:val="000000" w:themeColor="text1"/>
          <w:sz w:val="28"/>
          <w:szCs w:val="28"/>
        </w:rPr>
        <w:t>3000</w:t>
      </w:r>
      <w:r>
        <w:rPr>
          <w:rFonts w:hint="eastAsia" w:cs="宋体" w:asciiTheme="minorEastAsia" w:hAnsiTheme="minorEastAsia" w:eastAsiaTheme="minorEastAsia"/>
          <w:color w:val="000000" w:themeColor="text1"/>
          <w:sz w:val="28"/>
          <w:szCs w:val="28"/>
        </w:rPr>
        <w:t>名校友构建了遍布全国的精英校友网络。多元化的交流平台跨越班级界限，推动学生实现其职业生涯的持续跃升，成为项目核心竞争力之一。</w:t>
      </w:r>
    </w:p>
    <w:p w14:paraId="19167FE8">
      <w:pPr>
        <w:pStyle w:val="11"/>
        <w:spacing w:line="360" w:lineRule="auto"/>
        <w:ind w:firstLine="551" w:firstLineChars="196"/>
        <w:rPr>
          <w:rFonts w:asciiTheme="minorEastAsia" w:hAnsiTheme="minorEastAsia" w:eastAsiaTheme="minorEastAsia"/>
          <w:b/>
          <w:bCs/>
          <w:color w:val="000000" w:themeColor="text1"/>
          <w:sz w:val="28"/>
          <w:szCs w:val="28"/>
        </w:rPr>
      </w:pPr>
      <w:r>
        <w:rPr>
          <w:rFonts w:hint="eastAsia" w:cs="宋体" w:asciiTheme="minorEastAsia" w:hAnsiTheme="minorEastAsia" w:eastAsiaTheme="minorEastAsia"/>
          <w:b/>
          <w:bCs/>
          <w:color w:val="000000" w:themeColor="text1"/>
          <w:sz w:val="28"/>
          <w:szCs w:val="28"/>
        </w:rPr>
        <w:t>（5）实践型的师资队伍</w:t>
      </w:r>
    </w:p>
    <w:p w14:paraId="54202D17">
      <w:pPr>
        <w:pStyle w:val="11"/>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师资团队实现老中青梯队化培养模式；针对学科特点，实行模块化教学；实行课程组授课模式，充分发挥教师的专业优势，既强调了人才培养的标准化，也突出了教师的专业化。</w:t>
      </w:r>
    </w:p>
    <w:p w14:paraId="621ED8FC">
      <w:pPr>
        <w:pStyle w:val="11"/>
        <w:spacing w:line="360" w:lineRule="auto"/>
        <w:ind w:firstLine="560"/>
        <w:rPr>
          <w:rFonts w:cs="宋体" w:asciiTheme="minorEastAsia" w:hAnsiTheme="minorEastAsia" w:eastAsiaTheme="minorEastAsia"/>
          <w:color w:val="000000" w:themeColor="text1"/>
          <w:sz w:val="28"/>
          <w:szCs w:val="28"/>
        </w:rPr>
      </w:pPr>
    </w:p>
    <w:p w14:paraId="60044A2C">
      <w:pPr>
        <w:numPr>
          <w:ilvl w:val="0"/>
          <w:numId w:val="1"/>
        </w:numPr>
        <w:tabs>
          <w:tab w:val="left" w:pos="720"/>
        </w:tabs>
        <w:autoSpaceDE w:val="0"/>
        <w:autoSpaceDN w:val="0"/>
        <w:adjustRightInd w:val="0"/>
        <w:spacing w:line="360" w:lineRule="auto"/>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师资队伍</w:t>
      </w:r>
    </w:p>
    <w:p w14:paraId="060999B7">
      <w:pPr>
        <w:tabs>
          <w:tab w:val="left" w:pos="720"/>
        </w:tabs>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管理学院学科门类齐全，教学特色突出，拥有工商管理、管理科学与工程</w:t>
      </w:r>
      <w:r>
        <w:rPr>
          <w:rFonts w:cs="Times New Roman" w:asciiTheme="minorEastAsia" w:hAnsiTheme="minorEastAsia" w:eastAsiaTheme="minorEastAsia"/>
          <w:color w:val="000000" w:themeColor="text1"/>
          <w:kern w:val="0"/>
          <w:sz w:val="28"/>
          <w:szCs w:val="28"/>
          <w:lang w:val="zh-CN"/>
        </w:rPr>
        <w:t>2</w:t>
      </w:r>
      <w:r>
        <w:rPr>
          <w:rFonts w:hint="eastAsia" w:cs="宋体" w:asciiTheme="minorEastAsia" w:hAnsiTheme="minorEastAsia" w:eastAsiaTheme="minorEastAsia"/>
          <w:color w:val="000000" w:themeColor="text1"/>
          <w:kern w:val="0"/>
          <w:sz w:val="28"/>
          <w:szCs w:val="28"/>
          <w:lang w:val="zh-CN"/>
        </w:rPr>
        <w:t>个一级学科博士点，企业管理、会计学、财务管理、技术经济与管理、国际商务、组织行为学与人力资源管理</w:t>
      </w:r>
      <w:r>
        <w:rPr>
          <w:rFonts w:cs="Times New Roman" w:asciiTheme="minorEastAsia" w:hAnsiTheme="minorEastAsia" w:eastAsiaTheme="minorEastAsia"/>
          <w:color w:val="000000" w:themeColor="text1"/>
          <w:kern w:val="0"/>
          <w:sz w:val="28"/>
          <w:szCs w:val="28"/>
          <w:lang w:val="zh-CN"/>
        </w:rPr>
        <w:t>6</w:t>
      </w:r>
      <w:r>
        <w:rPr>
          <w:rFonts w:hint="eastAsia" w:cs="宋体" w:asciiTheme="minorEastAsia" w:hAnsiTheme="minorEastAsia" w:eastAsiaTheme="minorEastAsia"/>
          <w:color w:val="000000" w:themeColor="text1"/>
          <w:kern w:val="0"/>
          <w:sz w:val="28"/>
          <w:szCs w:val="28"/>
          <w:lang w:val="zh-CN"/>
        </w:rPr>
        <w:t>个二级学科博士学位授予权；拥有工商管理博士后科研流动站和管理科学与工程博士后科研流动站。</w:t>
      </w:r>
    </w:p>
    <w:p w14:paraId="51DE4775">
      <w:pPr>
        <w:tabs>
          <w:tab w:val="left" w:pos="720"/>
        </w:tabs>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师资力量雄厚，现有全职教科人员140人，其中教授54人、副教授60人；博导51人、硕导56人。</w:t>
      </w:r>
    </w:p>
    <w:p w14:paraId="0C94314E">
      <w:pPr>
        <w:tabs>
          <w:tab w:val="left" w:pos="720"/>
        </w:tabs>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师资队伍建设以自主涵育为主，对外柔性引进为辅，通过持续加大对中青年科研骨干的支持和投入，着力培养潜力人才，从无到有、逐步建立丰富各项省级人才梯队，进而最终实现国家级人才“零”的突破。近5年，我院黎文靖教授入选</w:t>
      </w:r>
      <w:r>
        <w:rPr>
          <w:rFonts w:hint="eastAsia" w:cs="宋体" w:asciiTheme="minorEastAsia" w:hAnsiTheme="minorEastAsia" w:eastAsiaTheme="minorEastAsia"/>
          <w:color w:val="000000" w:themeColor="text1"/>
          <w:kern w:val="0"/>
          <w:sz w:val="28"/>
          <w:szCs w:val="28"/>
          <w:lang w:val="en-US" w:eastAsia="zh-CN"/>
        </w:rPr>
        <w:t>国家级人才项目</w:t>
      </w:r>
      <w:bookmarkStart w:id="0" w:name="_GoBack"/>
      <w:bookmarkEnd w:id="0"/>
      <w:r>
        <w:rPr>
          <w:rFonts w:hint="eastAsia" w:cs="宋体" w:asciiTheme="minorEastAsia" w:hAnsiTheme="minorEastAsia" w:eastAsiaTheme="minorEastAsia"/>
          <w:color w:val="000000" w:themeColor="text1"/>
          <w:kern w:val="0"/>
          <w:sz w:val="28"/>
          <w:szCs w:val="28"/>
          <w:lang w:val="zh-CN"/>
        </w:rPr>
        <w:t>、严鸣教授入选国家优青、饶品贵教授入选珠江学者特聘教授、2人入选珠江学者讲座教授。此外，我院师资队伍还包括“千百十”人才工程国家级培养对象1人，“千百十”人才工程省级培养对象2人，全国会计名家2人，全国会计领军人才培养工作特殊支持计划1人，财政部“国际化高端会计人才”1人，广东省优秀教师2人 ，暨南“双百英才”杰出人才、暨南杰青第一层次、暨南杰青第二层次培养对象有16人。我院自主培养教育部“黄大年式”教学团队1个，师资力量雄厚。</w:t>
      </w:r>
    </w:p>
    <w:p w14:paraId="4C530275">
      <w:pPr>
        <w:tabs>
          <w:tab w:val="left" w:pos="720"/>
        </w:tabs>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p>
    <w:p w14:paraId="056FB666">
      <w:pPr>
        <w:numPr>
          <w:ilvl w:val="0"/>
          <w:numId w:val="1"/>
        </w:num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科学研究</w:t>
      </w:r>
      <w:r>
        <w:rPr>
          <w:rFonts w:cs="Times New Roman" w:asciiTheme="minorEastAsia" w:hAnsiTheme="minorEastAsia" w:eastAsiaTheme="minorEastAsia"/>
          <w:b/>
          <w:bCs/>
          <w:color w:val="000000" w:themeColor="text1"/>
          <w:kern w:val="0"/>
          <w:sz w:val="28"/>
          <w:szCs w:val="28"/>
          <w:lang w:val="zh-CN"/>
        </w:rPr>
        <w:tab/>
      </w:r>
    </w:p>
    <w:p w14:paraId="475EA3BC">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）科研特色鲜明、基础厚实</w:t>
      </w:r>
    </w:p>
    <w:p w14:paraId="29AA31CA">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本学位点已搭建起多个交叉融合研究团队，从</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宏观制度环境</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企业层面特征</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微观个体行为</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的综合视角，系统研究公司财务、管理会计、组织行为、品牌营销等工商管理的主题，并在这些领域内形成鲜明特色。</w:t>
      </w:r>
    </w:p>
    <w:p w14:paraId="0815B2E7">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）科研项目数量与质量双丰收</w:t>
      </w:r>
    </w:p>
    <w:p w14:paraId="45294961">
      <w:pPr>
        <w:autoSpaceDE w:val="0"/>
        <w:autoSpaceDN w:val="0"/>
        <w:adjustRightInd w:val="0"/>
        <w:spacing w:line="360" w:lineRule="auto"/>
        <w:ind w:firstLine="548" w:firstLineChars="196"/>
        <w:rPr>
          <w:rFonts w:ascii="宋体" w:hAnsi="宋体"/>
          <w:color w:val="000000"/>
          <w:sz w:val="28"/>
          <w:szCs w:val="28"/>
        </w:rPr>
      </w:pPr>
      <w:r>
        <w:rPr>
          <w:rFonts w:ascii="宋体" w:hAnsi="宋体"/>
          <w:color w:val="000000"/>
          <w:sz w:val="28"/>
          <w:szCs w:val="28"/>
        </w:rPr>
        <w:t>五年来，本学科共获得国家级项目</w:t>
      </w:r>
      <w:r>
        <w:rPr>
          <w:rFonts w:hint="eastAsia" w:ascii="宋体" w:hAnsi="宋体"/>
          <w:color w:val="000000"/>
          <w:sz w:val="28"/>
          <w:szCs w:val="28"/>
        </w:rPr>
        <w:t>63</w:t>
      </w:r>
      <w:r>
        <w:rPr>
          <w:rFonts w:ascii="宋体" w:hAnsi="宋体"/>
          <w:color w:val="000000"/>
          <w:sz w:val="28"/>
          <w:szCs w:val="28"/>
        </w:rPr>
        <w:t>项，获批经费共计</w:t>
      </w:r>
      <w:r>
        <w:rPr>
          <w:rFonts w:hint="eastAsia" w:ascii="宋体" w:hAnsi="宋体"/>
          <w:color w:val="000000"/>
          <w:sz w:val="28"/>
          <w:szCs w:val="28"/>
        </w:rPr>
        <w:t>2156</w:t>
      </w:r>
      <w:r>
        <w:rPr>
          <w:rFonts w:ascii="宋体" w:hAnsi="宋体"/>
          <w:color w:val="000000"/>
          <w:sz w:val="28"/>
          <w:szCs w:val="28"/>
        </w:rPr>
        <w:t>万元，其中国家级重大、重点项目</w:t>
      </w:r>
      <w:r>
        <w:rPr>
          <w:rFonts w:hint="eastAsia" w:ascii="宋体" w:hAnsi="宋体"/>
          <w:color w:val="000000"/>
          <w:sz w:val="28"/>
          <w:szCs w:val="28"/>
        </w:rPr>
        <w:t>2</w:t>
      </w:r>
      <w:r>
        <w:rPr>
          <w:rFonts w:ascii="宋体" w:hAnsi="宋体"/>
          <w:color w:val="000000"/>
          <w:sz w:val="28"/>
          <w:szCs w:val="28"/>
        </w:rPr>
        <w:t>项；省部级以上项目学科人均项目数</w:t>
      </w:r>
      <w:r>
        <w:rPr>
          <w:rFonts w:hint="eastAsia" w:ascii="宋体" w:hAnsi="宋体"/>
          <w:color w:val="000000"/>
          <w:sz w:val="28"/>
          <w:szCs w:val="28"/>
        </w:rPr>
        <w:t>0.54</w:t>
      </w:r>
      <w:r>
        <w:rPr>
          <w:rFonts w:ascii="宋体" w:hAnsi="宋体"/>
          <w:color w:val="000000"/>
          <w:sz w:val="28"/>
          <w:szCs w:val="28"/>
        </w:rPr>
        <w:t>项、省部级以上项目人均经费数</w:t>
      </w:r>
      <w:r>
        <w:rPr>
          <w:rFonts w:hint="eastAsia" w:ascii="宋体" w:hAnsi="宋体"/>
          <w:color w:val="000000"/>
          <w:sz w:val="28"/>
          <w:szCs w:val="28"/>
        </w:rPr>
        <w:t>12.7</w:t>
      </w:r>
      <w:r>
        <w:rPr>
          <w:rFonts w:ascii="宋体" w:hAnsi="宋体"/>
          <w:color w:val="000000"/>
          <w:sz w:val="28"/>
          <w:szCs w:val="28"/>
        </w:rPr>
        <w:t>万元。</w:t>
      </w:r>
    </w:p>
    <w:p w14:paraId="22D205C9">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themeColor="text1"/>
          <w:kern w:val="0"/>
          <w:sz w:val="28"/>
          <w:szCs w:val="28"/>
          <w:lang w:val="zh-CN"/>
        </w:rPr>
        <w:t>）科学研究起点高、论文成果突出</w:t>
      </w:r>
    </w:p>
    <w:p w14:paraId="126D399B">
      <w:pPr>
        <w:autoSpaceDE w:val="0"/>
        <w:autoSpaceDN w:val="0"/>
        <w:adjustRightInd w:val="0"/>
        <w:spacing w:line="360" w:lineRule="auto"/>
        <w:ind w:firstLine="548" w:firstLineChars="196"/>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科研成果</w:t>
      </w:r>
      <w:r>
        <w:rPr>
          <w:rFonts w:ascii="宋体" w:hAnsi="宋体"/>
          <w:color w:val="000000"/>
          <w:sz w:val="28"/>
          <w:szCs w:val="28"/>
        </w:rPr>
        <w:t>发表在</w:t>
      </w:r>
      <w:r>
        <w:rPr>
          <w:color w:val="000000"/>
          <w:sz w:val="28"/>
          <w:szCs w:val="28"/>
        </w:rPr>
        <w:t xml:space="preserve">UTD24期刊（如SMJ、JIBS、POM）、FT50期刊（如RAS、HRM、MSOM、JBE）以及其他具有良好声誉的国际期刊（如OBHDP、BJM、EJOR </w:t>
      </w:r>
      <w:r>
        <w:rPr>
          <w:rFonts w:hint="eastAsia"/>
          <w:color w:val="000000"/>
          <w:sz w:val="28"/>
          <w:szCs w:val="28"/>
        </w:rPr>
        <w:t>等）</w:t>
      </w:r>
      <w:r>
        <w:rPr>
          <w:color w:val="000000"/>
          <w:sz w:val="28"/>
          <w:szCs w:val="28"/>
        </w:rPr>
        <w:t>上</w:t>
      </w:r>
      <w:r>
        <w:rPr>
          <w:rFonts w:ascii="宋体" w:hAnsi="宋体"/>
          <w:color w:val="000000"/>
          <w:sz w:val="28"/>
          <w:szCs w:val="28"/>
        </w:rPr>
        <w:t>。近五年来，本学科点出版与本学科相关专著共计</w:t>
      </w:r>
      <w:r>
        <w:rPr>
          <w:rFonts w:hint="eastAsia" w:ascii="宋体" w:hAnsi="宋体"/>
          <w:color w:val="000000"/>
          <w:sz w:val="28"/>
          <w:szCs w:val="28"/>
        </w:rPr>
        <w:t>19</w:t>
      </w:r>
      <w:r>
        <w:rPr>
          <w:rFonts w:ascii="宋体" w:hAnsi="宋体"/>
          <w:color w:val="000000"/>
          <w:sz w:val="28"/>
          <w:szCs w:val="28"/>
        </w:rPr>
        <w:t>部，获省部级及以上科研奖励（</w:t>
      </w:r>
      <w:r>
        <w:rPr>
          <w:rFonts w:hint="eastAsia" w:ascii="宋体" w:hAnsi="宋体"/>
          <w:color w:val="000000"/>
          <w:sz w:val="28"/>
          <w:szCs w:val="28"/>
        </w:rPr>
        <w:t>23</w:t>
      </w:r>
      <w:r>
        <w:rPr>
          <w:rFonts w:ascii="宋体" w:hAnsi="宋体"/>
          <w:color w:val="000000"/>
          <w:sz w:val="28"/>
          <w:szCs w:val="28"/>
        </w:rPr>
        <w:t>）项，其中教育部优秀成果奖</w:t>
      </w:r>
      <w:r>
        <w:rPr>
          <w:rFonts w:hint="eastAsia" w:ascii="宋体" w:hAnsi="宋体"/>
          <w:color w:val="000000"/>
          <w:sz w:val="28"/>
          <w:szCs w:val="28"/>
        </w:rPr>
        <w:t>二</w:t>
      </w:r>
      <w:r>
        <w:rPr>
          <w:rFonts w:ascii="宋体" w:hAnsi="宋体"/>
          <w:color w:val="000000"/>
          <w:sz w:val="28"/>
          <w:szCs w:val="28"/>
        </w:rPr>
        <w:t>等奖（</w:t>
      </w:r>
      <w:r>
        <w:rPr>
          <w:rFonts w:hint="eastAsia" w:ascii="宋体" w:hAnsi="宋体"/>
          <w:color w:val="000000"/>
          <w:sz w:val="28"/>
          <w:szCs w:val="28"/>
        </w:rPr>
        <w:t>3</w:t>
      </w:r>
      <w:r>
        <w:rPr>
          <w:rFonts w:ascii="宋体" w:hAnsi="宋体"/>
          <w:color w:val="000000"/>
          <w:sz w:val="28"/>
          <w:szCs w:val="28"/>
        </w:rPr>
        <w:t>）项，省哲学社会科学优秀成果奖一等奖（</w:t>
      </w:r>
      <w:r>
        <w:rPr>
          <w:rFonts w:hint="eastAsia" w:ascii="宋体" w:hAnsi="宋体"/>
          <w:color w:val="000000"/>
          <w:sz w:val="28"/>
          <w:szCs w:val="28"/>
        </w:rPr>
        <w:t>5</w:t>
      </w:r>
      <w:r>
        <w:rPr>
          <w:rFonts w:ascii="宋体" w:hAnsi="宋体"/>
          <w:color w:val="000000"/>
          <w:sz w:val="28"/>
          <w:szCs w:val="28"/>
        </w:rPr>
        <w:t>）项，二等奖（</w:t>
      </w:r>
      <w:r>
        <w:rPr>
          <w:rFonts w:hint="eastAsia" w:ascii="宋体" w:hAnsi="宋体"/>
          <w:color w:val="000000"/>
          <w:sz w:val="28"/>
          <w:szCs w:val="28"/>
        </w:rPr>
        <w:t>10</w:t>
      </w:r>
      <w:r>
        <w:rPr>
          <w:rFonts w:ascii="宋体" w:hAnsi="宋体"/>
          <w:color w:val="000000"/>
          <w:sz w:val="28"/>
          <w:szCs w:val="28"/>
        </w:rPr>
        <w:t>）项，三等奖（</w:t>
      </w:r>
      <w:r>
        <w:rPr>
          <w:rFonts w:hint="eastAsia" w:ascii="宋体" w:hAnsi="宋体"/>
          <w:color w:val="000000"/>
          <w:sz w:val="28"/>
          <w:szCs w:val="28"/>
        </w:rPr>
        <w:t>5</w:t>
      </w:r>
      <w:r>
        <w:rPr>
          <w:rFonts w:ascii="宋体" w:hAnsi="宋体"/>
          <w:color w:val="000000"/>
          <w:sz w:val="28"/>
          <w:szCs w:val="28"/>
        </w:rPr>
        <w:t>）项。</w:t>
      </w:r>
      <w:r>
        <w:rPr>
          <w:rFonts w:hint="eastAsia" w:cs="宋体" w:asciiTheme="minorEastAsia" w:hAnsiTheme="minorEastAsia" w:eastAsiaTheme="minorEastAsia"/>
          <w:color w:val="000000" w:themeColor="text1"/>
          <w:kern w:val="0"/>
          <w:sz w:val="28"/>
          <w:szCs w:val="28"/>
          <w:lang w:val="zh-CN"/>
        </w:rPr>
        <w:t>此外，2018年广州区域低碳经济研究基地获评“广州市人文社会科学重点研究基地建设优秀基地”，2019年暨南大学企业发展研究所通过广东省省级文科平台评估检查获评“优秀”，这些具有代表性的科研平台在服务地方经济和承担广东省经济发展主战场方面做出了诸多贡献。与此同时，这些科研项目与平台也为MBA和EMBA人才培养提供丰富的实践土壤。</w:t>
      </w:r>
    </w:p>
    <w:p w14:paraId="2348E54B">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4</w:t>
      </w:r>
      <w:r>
        <w:rPr>
          <w:rFonts w:hint="eastAsia" w:cs="宋体" w:asciiTheme="minorEastAsia" w:hAnsiTheme="minorEastAsia" w:eastAsiaTheme="minorEastAsia"/>
          <w:b/>
          <w:bCs/>
          <w:color w:val="000000" w:themeColor="text1"/>
          <w:kern w:val="0"/>
          <w:sz w:val="28"/>
          <w:szCs w:val="28"/>
          <w:lang w:val="zh-CN"/>
        </w:rPr>
        <w:t>）布局珠三角，服务大湾区</w:t>
      </w:r>
    </w:p>
    <w:p w14:paraId="07DA3408">
      <w:pPr>
        <w:spacing w:line="360" w:lineRule="auto"/>
        <w:ind w:firstLine="560" w:firstLineChars="200"/>
        <w:rPr>
          <w:rFonts w:ascii="宋体" w:hAnsi="宋体"/>
          <w:color w:val="000000"/>
          <w:sz w:val="28"/>
          <w:szCs w:val="28"/>
        </w:rPr>
      </w:pPr>
      <w:r>
        <w:rPr>
          <w:rFonts w:ascii="宋体" w:hAnsi="宋体"/>
          <w:color w:val="000000"/>
          <w:sz w:val="28"/>
          <w:szCs w:val="28"/>
        </w:rPr>
        <w:t>积极配合广东经济结构调整和产业结构升级，关注珠三角以及大湾区优秀产业与新兴产业，近5年承担了企业和政府委托的大型横向项目</w:t>
      </w:r>
      <w:r>
        <w:rPr>
          <w:rFonts w:hint="eastAsia" w:ascii="宋体" w:hAnsi="宋体"/>
          <w:color w:val="000000"/>
          <w:sz w:val="28"/>
          <w:szCs w:val="28"/>
        </w:rPr>
        <w:t>84</w:t>
      </w:r>
      <w:r>
        <w:rPr>
          <w:rFonts w:ascii="宋体" w:hAnsi="宋体"/>
          <w:color w:val="000000"/>
          <w:sz w:val="28"/>
          <w:szCs w:val="28"/>
        </w:rPr>
        <w:t>余项，经费达</w:t>
      </w:r>
      <w:r>
        <w:rPr>
          <w:rFonts w:hint="eastAsia" w:ascii="宋体" w:hAnsi="宋体"/>
          <w:color w:val="000000"/>
          <w:sz w:val="28"/>
          <w:szCs w:val="28"/>
        </w:rPr>
        <w:t>2100</w:t>
      </w:r>
      <w:r>
        <w:rPr>
          <w:rFonts w:ascii="宋体" w:hAnsi="宋体"/>
          <w:color w:val="000000"/>
          <w:sz w:val="28"/>
          <w:szCs w:val="28"/>
        </w:rPr>
        <w:t>多万，多项成果获广东省各级政府采纳，并获省级优秀成果奖。另外，本学科还承办</w:t>
      </w:r>
      <w:r>
        <w:rPr>
          <w:rFonts w:hint="eastAsia" w:ascii="宋体" w:hAnsi="宋体"/>
          <w:color w:val="000000"/>
          <w:sz w:val="28"/>
          <w:szCs w:val="28"/>
        </w:rPr>
        <w:t>“2017</w:t>
      </w:r>
      <w:r>
        <w:rPr>
          <w:color w:val="000000"/>
          <w:sz w:val="28"/>
          <w:szCs w:val="28"/>
        </w:rPr>
        <w:t>JMS</w:t>
      </w:r>
      <w:r>
        <w:rPr>
          <w:rFonts w:hint="eastAsia" w:ascii="宋体" w:hAnsi="宋体"/>
          <w:color w:val="000000"/>
          <w:sz w:val="28"/>
          <w:szCs w:val="28"/>
        </w:rPr>
        <w:t>中国营销科学学术年会”“2019年中国国际金融年会”“广东省认知科学学会学术年会”“首届会计与高质量发展学术研讨会”</w:t>
      </w:r>
      <w:r>
        <w:rPr>
          <w:rFonts w:ascii="宋体" w:hAnsi="宋体"/>
          <w:color w:val="000000"/>
          <w:sz w:val="28"/>
          <w:szCs w:val="28"/>
        </w:rPr>
        <w:t>等一系列高水平学术会议，构建</w:t>
      </w:r>
      <w:r>
        <w:rPr>
          <w:rFonts w:hint="eastAsia" w:ascii="宋体" w:hAnsi="宋体"/>
          <w:color w:val="000000"/>
          <w:sz w:val="28"/>
          <w:szCs w:val="28"/>
        </w:rPr>
        <w:t>了</w:t>
      </w:r>
      <w:r>
        <w:rPr>
          <w:rFonts w:ascii="宋体" w:hAnsi="宋体"/>
          <w:color w:val="000000"/>
          <w:sz w:val="28"/>
          <w:szCs w:val="28"/>
        </w:rPr>
        <w:t>服务区域经济的交流与合作平台。</w:t>
      </w:r>
    </w:p>
    <w:p w14:paraId="61337B49">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rPr>
      </w:pPr>
    </w:p>
    <w:p w14:paraId="73B01325">
      <w:pPr>
        <w:numPr>
          <w:ilvl w:val="0"/>
          <w:numId w:val="1"/>
        </w:num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教学科研支撑</w:t>
      </w:r>
    </w:p>
    <w:p w14:paraId="6D0CE875">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本学位点以案例教学为重要教学方法和特色，积极打造案例教学研究平台</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华商管理案例基金。每个被批准立项并且通过质量评审的案例，学院将资助基本项目费用人民币</w:t>
      </w:r>
      <w:r>
        <w:rPr>
          <w:rFonts w:cs="Times New Roman" w:asciiTheme="minorEastAsia" w:hAnsiTheme="minorEastAsia" w:eastAsiaTheme="minorEastAsia"/>
          <w:color w:val="000000" w:themeColor="text1"/>
          <w:kern w:val="0"/>
          <w:sz w:val="28"/>
          <w:szCs w:val="28"/>
          <w:lang w:val="zh-CN"/>
        </w:rPr>
        <w:t>25,000</w:t>
      </w:r>
      <w:r>
        <w:rPr>
          <w:rFonts w:hint="eastAsia" w:cs="宋体" w:asciiTheme="minorEastAsia" w:hAnsiTheme="minorEastAsia" w:eastAsiaTheme="minorEastAsia"/>
          <w:color w:val="000000" w:themeColor="text1"/>
          <w:kern w:val="0"/>
          <w:sz w:val="28"/>
          <w:szCs w:val="28"/>
          <w:lang w:val="zh-CN"/>
        </w:rPr>
        <w:t>元。若案例入选中国管理案例共享中心案例库等都有进一步奖励。目前，共有</w:t>
      </w:r>
      <w:r>
        <w:rPr>
          <w:rFonts w:cs="宋体" w:asciiTheme="minorEastAsia" w:hAnsiTheme="minorEastAsia" w:eastAsiaTheme="minorEastAsia"/>
          <w:color w:val="000000" w:themeColor="text1"/>
          <w:kern w:val="0"/>
          <w:sz w:val="28"/>
          <w:szCs w:val="28"/>
          <w:lang w:val="zh-CN"/>
        </w:rPr>
        <w:t>1</w:t>
      </w:r>
      <w:r>
        <w:rPr>
          <w:rFonts w:hint="eastAsia" w:cs="宋体" w:asciiTheme="minorEastAsia" w:hAnsiTheme="minorEastAsia" w:eastAsiaTheme="minorEastAsia"/>
          <w:color w:val="000000" w:themeColor="text1"/>
          <w:kern w:val="0"/>
          <w:sz w:val="28"/>
          <w:szCs w:val="28"/>
          <w:lang w:val="zh-CN"/>
        </w:rPr>
        <w:t>8篇原创案例荣获中国管理案例共享中心“全国百优案例”，学院连续</w:t>
      </w:r>
      <w:r>
        <w:rPr>
          <w:rFonts w:cs="宋体" w:asciiTheme="minorEastAsia" w:hAnsiTheme="minorEastAsia" w:eastAsiaTheme="minorEastAsia"/>
          <w:color w:val="000000" w:themeColor="text1"/>
          <w:kern w:val="0"/>
          <w:sz w:val="28"/>
          <w:szCs w:val="28"/>
          <w:lang w:val="zh-CN"/>
        </w:rPr>
        <w:t>4</w:t>
      </w:r>
      <w:r>
        <w:rPr>
          <w:rFonts w:hint="eastAsia" w:cs="宋体" w:asciiTheme="minorEastAsia" w:hAnsiTheme="minorEastAsia" w:eastAsiaTheme="minorEastAsia"/>
          <w:color w:val="000000" w:themeColor="text1"/>
          <w:kern w:val="0"/>
          <w:sz w:val="28"/>
          <w:szCs w:val="28"/>
          <w:lang w:val="zh-CN"/>
        </w:rPr>
        <w:t>年获最佳组织奖，获奖案例总数居华南高校之首。</w:t>
      </w:r>
    </w:p>
    <w:p w14:paraId="7BA5B806">
      <w:pPr>
        <w:spacing w:line="360" w:lineRule="auto"/>
        <w:ind w:firstLine="560" w:firstLineChars="200"/>
        <w:rPr>
          <w:rFonts w:ascii="宋体" w:hAnsi="宋体"/>
          <w:color w:val="000000"/>
          <w:sz w:val="28"/>
          <w:szCs w:val="28"/>
        </w:rPr>
      </w:pPr>
      <w:r>
        <w:rPr>
          <w:rFonts w:hint="eastAsia" w:ascii="宋体" w:hAnsi="宋体"/>
          <w:color w:val="000000"/>
          <w:sz w:val="28"/>
          <w:szCs w:val="28"/>
        </w:rPr>
        <w:t>此外，工商管理博士后科研流动站、经济管理国家级实验教学示范中心、广东省人文社科重点研究基地“企业发展研究所”、 广州市人文社科重点研究基地“暨南大学广州区域低碳经济研究基地”、广州市人文社科重点研究基地“广州品牌创新发展研究基地”、广东省哲学社会科学重点实验室“神经管理学实验室”、高校新型智库“暨南大学绿色发展研究中心”等科研平台的搭建，有力支撑了本学科的科研和教学工作。</w:t>
      </w:r>
    </w:p>
    <w:p w14:paraId="65EC34A3">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p>
    <w:p w14:paraId="55F9996E">
      <w:pPr>
        <w:numPr>
          <w:ilvl w:val="0"/>
          <w:numId w:val="1"/>
        </w:num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奖助体系</w:t>
      </w:r>
    </w:p>
    <w:p w14:paraId="73693EFA">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本学位点已建立了一套完善的奖助体系，覆盖全日制内招、外招生</w:t>
      </w:r>
      <w:r>
        <w:rPr>
          <w:rFonts w:hint="eastAsia" w:cs="宋体" w:asciiTheme="minorEastAsia" w:hAnsiTheme="minorEastAsia" w:eastAsiaTheme="minorEastAsia"/>
          <w:color w:val="000000" w:themeColor="text1"/>
          <w:kern w:val="0"/>
          <w:sz w:val="28"/>
          <w:szCs w:val="28"/>
        </w:rPr>
        <w:t>及非全日制生</w:t>
      </w:r>
      <w:r>
        <w:rPr>
          <w:rFonts w:hint="eastAsia" w:cs="宋体" w:asciiTheme="minorEastAsia" w:hAnsiTheme="minorEastAsia" w:eastAsiaTheme="minorEastAsia"/>
          <w:color w:val="000000" w:themeColor="text1"/>
          <w:kern w:val="0"/>
          <w:sz w:val="28"/>
          <w:szCs w:val="28"/>
          <w:lang w:val="zh-CN"/>
        </w:rPr>
        <w:t>。</w:t>
      </w:r>
    </w:p>
    <w:p w14:paraId="78ACE2CE">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对于内招生，根据思想政治、学习成绩、社会服务等综合指标，学校划分不同的奖助金等级，其中一等奖助金名额为</w:t>
      </w:r>
      <w:r>
        <w:rPr>
          <w:rFonts w:cs="Times New Roman" w:asciiTheme="minorEastAsia" w:hAnsiTheme="minorEastAsia" w:eastAsiaTheme="minorEastAsia"/>
          <w:color w:val="000000" w:themeColor="text1"/>
          <w:kern w:val="0"/>
          <w:sz w:val="28"/>
          <w:szCs w:val="28"/>
          <w:lang w:val="zh-CN"/>
        </w:rPr>
        <w:t>10%</w:t>
      </w:r>
      <w:r>
        <w:rPr>
          <w:rFonts w:hint="eastAsia" w:cs="宋体" w:asciiTheme="minorEastAsia" w:hAnsiTheme="minorEastAsia" w:eastAsiaTheme="minorEastAsia"/>
          <w:color w:val="000000" w:themeColor="text1"/>
          <w:kern w:val="0"/>
          <w:sz w:val="28"/>
          <w:szCs w:val="28"/>
          <w:lang w:val="zh-CN"/>
        </w:rPr>
        <w:t>，二等为</w:t>
      </w:r>
      <w:r>
        <w:rPr>
          <w:rFonts w:cs="Times New Roman" w:asciiTheme="minorEastAsia" w:hAnsiTheme="minorEastAsia" w:eastAsiaTheme="minorEastAsia"/>
          <w:color w:val="000000" w:themeColor="text1"/>
          <w:kern w:val="0"/>
          <w:sz w:val="28"/>
          <w:szCs w:val="28"/>
          <w:lang w:val="zh-CN"/>
        </w:rPr>
        <w:t>60%</w:t>
      </w:r>
      <w:r>
        <w:rPr>
          <w:rFonts w:hint="eastAsia" w:cs="宋体" w:asciiTheme="minorEastAsia" w:hAnsiTheme="minorEastAsia" w:eastAsiaTheme="minorEastAsia"/>
          <w:color w:val="000000" w:themeColor="text1"/>
          <w:kern w:val="0"/>
          <w:sz w:val="28"/>
          <w:szCs w:val="28"/>
          <w:lang w:val="zh-CN"/>
        </w:rPr>
        <w:t>，三等为</w:t>
      </w:r>
      <w:r>
        <w:rPr>
          <w:rFonts w:cs="Times New Roman" w:asciiTheme="minorEastAsia" w:hAnsiTheme="minorEastAsia" w:eastAsiaTheme="minorEastAsia"/>
          <w:color w:val="000000" w:themeColor="text1"/>
          <w:kern w:val="0"/>
          <w:sz w:val="28"/>
          <w:szCs w:val="28"/>
          <w:lang w:val="zh-CN"/>
        </w:rPr>
        <w:t>30%</w:t>
      </w:r>
      <w:r>
        <w:rPr>
          <w:rFonts w:hint="eastAsia" w:cs="宋体" w:asciiTheme="minorEastAsia" w:hAnsiTheme="minorEastAsia" w:eastAsiaTheme="minorEastAsia"/>
          <w:color w:val="000000" w:themeColor="text1"/>
          <w:kern w:val="0"/>
          <w:sz w:val="28"/>
          <w:szCs w:val="28"/>
          <w:lang w:val="zh-CN"/>
        </w:rPr>
        <w:t>。</w:t>
      </w:r>
    </w:p>
    <w:p w14:paraId="7655E465">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对于外招生，目前有</w:t>
      </w:r>
      <w:r>
        <w:rPr>
          <w:rFonts w:cs="Times New Roman" w:asciiTheme="minorEastAsia" w:hAnsiTheme="minorEastAsia" w:eastAsiaTheme="minorEastAsia"/>
          <w:color w:val="000000" w:themeColor="text1"/>
          <w:kern w:val="0"/>
          <w:sz w:val="28"/>
          <w:szCs w:val="28"/>
          <w:lang w:val="zh-CN"/>
        </w:rPr>
        <w:t>4</w:t>
      </w:r>
      <w:r>
        <w:rPr>
          <w:rFonts w:hint="eastAsia" w:cs="宋体" w:asciiTheme="minorEastAsia" w:hAnsiTheme="minorEastAsia" w:eastAsiaTheme="minorEastAsia"/>
          <w:color w:val="000000" w:themeColor="text1"/>
          <w:kern w:val="0"/>
          <w:sz w:val="28"/>
          <w:szCs w:val="28"/>
          <w:lang w:val="zh-CN"/>
        </w:rPr>
        <w:t>个层面的奖助金：国家层面的政府奖学金、广东省层面的来粤奖学金、学校层面的新生奖学金以及学院由柯荣卿校友捐助设立的针对优秀新生的</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路翔奖学金</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w:t>
      </w:r>
    </w:p>
    <w:p w14:paraId="3CB05813">
      <w:pPr>
        <w:ind w:firstLine="560" w:firstLineChars="200"/>
        <w:rPr>
          <w:rFonts w:asciiTheme="minorEastAsia" w:hAnsiTheme="minorEastAsia" w:cstheme="minorEastAsia"/>
          <w:color w:val="000000" w:themeColor="text1"/>
          <w:sz w:val="28"/>
          <w:szCs w:val="28"/>
        </w:rPr>
      </w:pPr>
      <w:r>
        <w:rPr>
          <w:rFonts w:hint="eastAsia" w:asciiTheme="minorEastAsia" w:hAnsiTheme="minorEastAsia" w:eastAsiaTheme="minorEastAsia" w:cstheme="minorEastAsia"/>
          <w:color w:val="000000" w:themeColor="text1"/>
          <w:sz w:val="28"/>
          <w:szCs w:val="28"/>
        </w:rPr>
        <w:t>对于非全日制生，</w:t>
      </w:r>
      <w:r>
        <w:rPr>
          <w:rFonts w:hint="eastAsia" w:asciiTheme="minorEastAsia" w:hAnsiTheme="minorEastAsia" w:eastAsiaTheme="minorEastAsia" w:cstheme="minorEastAsia"/>
          <w:color w:val="000000" w:themeColor="text1"/>
          <w:sz w:val="28"/>
          <w:szCs w:val="28"/>
          <w:shd w:val="clear" w:color="auto" w:fill="FFFFFF"/>
        </w:rPr>
        <w:t>为鼓励MBA学生在校期间勤奋学习、全面发展，培养更多的品学兼优人才，</w:t>
      </w:r>
      <w:r>
        <w:rPr>
          <w:rFonts w:hint="eastAsia" w:asciiTheme="minorEastAsia" w:hAnsiTheme="minorEastAsia" w:eastAsiaTheme="minorEastAsia" w:cstheme="minorEastAsia"/>
          <w:color w:val="000000" w:themeColor="text1"/>
          <w:sz w:val="28"/>
          <w:szCs w:val="28"/>
        </w:rPr>
        <w:t>本着多元评价维度的评选原则</w:t>
      </w:r>
      <w:r>
        <w:rPr>
          <w:rFonts w:hint="eastAsia" w:asciiTheme="minorEastAsia" w:hAnsiTheme="minorEastAsia" w:eastAsiaTheme="minorEastAsia" w:cstheme="minorEastAsia"/>
          <w:color w:val="000000" w:themeColor="text1"/>
          <w:sz w:val="28"/>
          <w:szCs w:val="28"/>
          <w:shd w:val="clear" w:color="auto" w:fill="FFFFFF"/>
        </w:rPr>
        <w:t>，暨南大学管理学院设立了MBA非全日“扬帆奖”以鼓励优秀的在职MBA学生，评选内容包括：</w:t>
      </w:r>
      <w:r>
        <w:rPr>
          <w:rFonts w:hint="eastAsia" w:ascii="宋体" w:hAnsi="宋体" w:cs="宋体"/>
          <w:color w:val="000000" w:themeColor="text1"/>
          <w:sz w:val="28"/>
          <w:szCs w:val="28"/>
        </w:rPr>
        <w:t>入学成绩</w:t>
      </w:r>
      <w:r>
        <w:rPr>
          <w:rFonts w:ascii="宋体" w:hAnsi="宋体" w:cs="宋体"/>
          <w:color w:val="000000" w:themeColor="text1"/>
          <w:sz w:val="28"/>
          <w:szCs w:val="28"/>
        </w:rPr>
        <w:t>/</w:t>
      </w:r>
      <w:r>
        <w:rPr>
          <w:rFonts w:hint="eastAsia" w:ascii="宋体" w:hAnsi="宋体" w:cs="宋体"/>
          <w:color w:val="000000" w:themeColor="text1"/>
          <w:sz w:val="28"/>
          <w:szCs w:val="28"/>
        </w:rPr>
        <w:t>学业成绩、思想综合素质、在校活动参与度三个板块。</w:t>
      </w:r>
    </w:p>
    <w:p w14:paraId="23EB06FE">
      <w:pPr>
        <w:autoSpaceDE w:val="0"/>
        <w:autoSpaceDN w:val="0"/>
        <w:adjustRightInd w:val="0"/>
        <w:spacing w:line="360" w:lineRule="auto"/>
        <w:ind w:firstLine="480"/>
        <w:rPr>
          <w:rFonts w:cs="Times New Roman" w:asciiTheme="minorEastAsia" w:hAnsiTheme="minorEastAsia" w:eastAsiaTheme="minorEastAsia"/>
          <w:b/>
          <w:bCs/>
          <w:color w:val="000000" w:themeColor="text1"/>
          <w:kern w:val="0"/>
          <w:sz w:val="28"/>
          <w:szCs w:val="28"/>
          <w:lang w:val="zh-CN"/>
        </w:rPr>
      </w:pPr>
    </w:p>
    <w:p w14:paraId="48DB08A2">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（三）人才培养</w:t>
      </w:r>
    </w:p>
    <w:p w14:paraId="7C0A67CA">
      <w:pPr>
        <w:autoSpaceDE w:val="0"/>
        <w:autoSpaceDN w:val="0"/>
        <w:adjustRightInd w:val="0"/>
        <w:spacing w:line="360" w:lineRule="auto"/>
        <w:rPr>
          <w:rFonts w:cs="宋体" w:asciiTheme="minorEastAsia" w:hAnsiTheme="minorEastAsia" w:eastAsiaTheme="minorEastAsia"/>
          <w:b/>
          <w:bCs/>
          <w:color w:val="000000" w:themeColor="text1"/>
          <w:kern w:val="0"/>
          <w:sz w:val="28"/>
          <w:szCs w:val="28"/>
          <w:lang w:val="zh-CN"/>
        </w:rPr>
      </w:pP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招生选拔</w:t>
      </w:r>
    </w:p>
    <w:p w14:paraId="39CD554F">
      <w:pPr>
        <w:autoSpaceDE w:val="0"/>
        <w:autoSpaceDN w:val="0"/>
        <w:adjustRightInd w:val="0"/>
        <w:spacing w:line="360" w:lineRule="auto"/>
        <w:ind w:firstLine="561"/>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暨南大学MBA招生选拔分为初试和复试两个阶段，初试为国家统一考试，考生需在指定时间于国家研究生招生信息网报名，并通过管理类联考（综合+英语）后进入复试阶段，复试主要考核思想政治素质和道德品质、外语听说能力、专业基本理论知识和应用技能、创新精神及能力、实践（实验）能力、科研潜力、事业责任意识、团队协作、举止、表达和礼仪等。复试采取面试考核方式，总分为260分，包括综合素质与能力（满分100分）、专业素质与能力（满分100分）、思想政治理论（满分60分）三部分。</w:t>
      </w:r>
    </w:p>
    <w:p w14:paraId="39CB3E94">
      <w:pPr>
        <w:autoSpaceDE w:val="0"/>
        <w:autoSpaceDN w:val="0"/>
        <w:adjustRightInd w:val="0"/>
        <w:spacing w:line="360" w:lineRule="auto"/>
        <w:ind w:firstLine="561"/>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其中综合素质与能力包括思想政治素质与道德品质20分、外语听说能力20分，基本素养60分；专业素质与能力包括三个方面：专业知识与基本技能60分、创新能力与科研潜质20分、专业认识与个人发展20分。这两部分成绩总分200分，及格线为120分，不及格者不予录取。</w:t>
      </w:r>
    </w:p>
    <w:p w14:paraId="0AA82318">
      <w:pPr>
        <w:autoSpaceDE w:val="0"/>
        <w:autoSpaceDN w:val="0"/>
        <w:adjustRightInd w:val="0"/>
        <w:spacing w:line="360" w:lineRule="auto"/>
        <w:ind w:firstLine="561"/>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思想政治理论考试方式为面试中文考核，满分为60分，不设及格线，成绩计入复试总成绩。</w:t>
      </w:r>
    </w:p>
    <w:p w14:paraId="32190396">
      <w:pPr>
        <w:autoSpaceDE w:val="0"/>
        <w:autoSpaceDN w:val="0"/>
        <w:adjustRightInd w:val="0"/>
        <w:spacing w:line="360" w:lineRule="auto"/>
        <w:ind w:firstLine="561"/>
        <w:rPr>
          <w:rFonts w:cs="Times New Roman" w:asciiTheme="minorEastAsia" w:hAnsiTheme="minorEastAsia" w:eastAsiaTheme="minorEastAsia"/>
          <w:b/>
          <w:bCs/>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拟录取名单按初、复试成绩加权之和由高分到低分确定。</w:t>
      </w:r>
    </w:p>
    <w:p w14:paraId="7B82F69D">
      <w:pPr>
        <w:autoSpaceDE w:val="0"/>
        <w:autoSpaceDN w:val="0"/>
        <w:adjustRightInd w:val="0"/>
        <w:spacing w:line="360" w:lineRule="auto"/>
        <w:ind w:firstLine="562" w:firstLineChars="200"/>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MBA</w:t>
      </w:r>
    </w:p>
    <w:p w14:paraId="1BB3BC6F">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近年随着我院的整体办学综合实力不断提高，社会美誉度和知名度不断跃升，我院MBA报名人数屡创新高。生源第一学历毕业院校结构方面，有相当比例的学生其第一学历为</w:t>
      </w:r>
      <w:r>
        <w:rPr>
          <w:rFonts w:cs="Times New Roman" w:asciiTheme="minorEastAsia" w:hAnsiTheme="minorEastAsia" w:eastAsiaTheme="minorEastAsia"/>
          <w:color w:val="000000" w:themeColor="text1"/>
          <w:kern w:val="0"/>
          <w:sz w:val="28"/>
          <w:szCs w:val="28"/>
          <w:lang w:val="zh-CN"/>
        </w:rPr>
        <w:t>985</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211</w:t>
      </w:r>
      <w:r>
        <w:rPr>
          <w:rFonts w:hint="eastAsia" w:cs="宋体" w:asciiTheme="minorEastAsia" w:hAnsiTheme="minorEastAsia" w:eastAsiaTheme="minorEastAsia"/>
          <w:color w:val="000000" w:themeColor="text1"/>
          <w:kern w:val="0"/>
          <w:sz w:val="28"/>
          <w:szCs w:val="28"/>
          <w:lang w:val="zh-CN"/>
        </w:rPr>
        <w:t>院校，包括北京大学等名校，平均工作年限为</w:t>
      </w:r>
      <w:r>
        <w:rPr>
          <w:rFonts w:cs="Times New Roman" w:asciiTheme="minorEastAsia" w:hAnsiTheme="minorEastAsia" w:eastAsiaTheme="minorEastAsia"/>
          <w:color w:val="000000" w:themeColor="text1"/>
          <w:kern w:val="0"/>
          <w:sz w:val="28"/>
          <w:szCs w:val="28"/>
          <w:lang w:val="zh-CN"/>
        </w:rPr>
        <w:t>7-8</w:t>
      </w:r>
      <w:r>
        <w:rPr>
          <w:rFonts w:hint="eastAsia" w:cs="宋体" w:asciiTheme="minorEastAsia" w:hAnsiTheme="minorEastAsia" w:eastAsiaTheme="minorEastAsia"/>
          <w:color w:val="000000" w:themeColor="text1"/>
          <w:kern w:val="0"/>
          <w:sz w:val="28"/>
          <w:szCs w:val="28"/>
          <w:lang w:val="zh-CN"/>
        </w:rPr>
        <w:t>年。表</w:t>
      </w:r>
      <w:r>
        <w:rPr>
          <w:rFonts w:cs="Times New Roman" w:asciiTheme="minorEastAsia" w:hAnsiTheme="minorEastAsia" w:eastAsiaTheme="minorEastAsia"/>
          <w:color w:val="000000" w:themeColor="text1"/>
          <w:kern w:val="0"/>
          <w:sz w:val="28"/>
          <w:szCs w:val="28"/>
          <w:lang w:val="zh-CN"/>
        </w:rPr>
        <w:t>1</w:t>
      </w:r>
      <w:r>
        <w:rPr>
          <w:rFonts w:hint="eastAsia" w:cs="宋体" w:asciiTheme="minorEastAsia" w:hAnsiTheme="minorEastAsia" w:eastAsiaTheme="minorEastAsia"/>
          <w:color w:val="000000" w:themeColor="text1"/>
          <w:kern w:val="0"/>
          <w:sz w:val="28"/>
          <w:szCs w:val="28"/>
          <w:lang w:val="zh-CN"/>
        </w:rPr>
        <w:t>所示是近</w:t>
      </w:r>
      <w:r>
        <w:rPr>
          <w:rFonts w:cs="Times New Roman" w:asciiTheme="minorEastAsia" w:hAnsiTheme="minorEastAsia" w:eastAsiaTheme="minorEastAsia"/>
          <w:color w:val="000000" w:themeColor="text1"/>
          <w:kern w:val="0"/>
          <w:sz w:val="28"/>
          <w:szCs w:val="28"/>
          <w:lang w:val="zh-CN"/>
        </w:rPr>
        <w:t>5</w:t>
      </w:r>
      <w:r>
        <w:rPr>
          <w:rFonts w:hint="eastAsia" w:cs="宋体" w:asciiTheme="minorEastAsia" w:hAnsiTheme="minorEastAsia" w:eastAsiaTheme="minorEastAsia"/>
          <w:color w:val="000000" w:themeColor="text1"/>
          <w:kern w:val="0"/>
          <w:sz w:val="28"/>
          <w:szCs w:val="28"/>
          <w:lang w:val="zh-CN"/>
        </w:rPr>
        <w:t>年来</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境内外招生的报考录取情况数量。</w:t>
      </w:r>
    </w:p>
    <w:p w14:paraId="13969D66">
      <w:pPr>
        <w:autoSpaceDE w:val="0"/>
        <w:autoSpaceDN w:val="0"/>
        <w:adjustRightInd w:val="0"/>
        <w:spacing w:line="360" w:lineRule="auto"/>
        <w:ind w:firstLine="560" w:firstLineChars="200"/>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①</w:t>
      </w:r>
      <w:r>
        <w:rPr>
          <w:rFonts w:hint="eastAsia" w:cs="宋体" w:asciiTheme="minorEastAsia" w:hAnsiTheme="minorEastAsia" w:eastAsiaTheme="minorEastAsia"/>
          <w:b/>
          <w:bCs/>
          <w:color w:val="000000" w:themeColor="text1"/>
          <w:kern w:val="0"/>
          <w:sz w:val="28"/>
          <w:szCs w:val="28"/>
          <w:lang w:val="zh-CN"/>
        </w:rPr>
        <w:t>内招生</w:t>
      </w:r>
    </w:p>
    <w:p w14:paraId="6E6B96BD">
      <w:pPr>
        <w:autoSpaceDE w:val="0"/>
        <w:autoSpaceDN w:val="0"/>
        <w:adjustRightInd w:val="0"/>
        <w:spacing w:line="360" w:lineRule="auto"/>
        <w:ind w:left="479" w:leftChars="228"/>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1. 201</w:t>
      </w:r>
      <w:r>
        <w:rPr>
          <w:rFonts w:hint="eastAsia" w:cs="Times New Roman" w:asciiTheme="minorEastAsia" w:hAnsiTheme="minorEastAsia" w:eastAsiaTheme="minorEastAsia"/>
          <w:color w:val="000000" w:themeColor="text1"/>
          <w:kern w:val="0"/>
          <w:sz w:val="28"/>
          <w:szCs w:val="28"/>
        </w:rPr>
        <w:t>7</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rPr>
        <w:t>21</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内招生报名、录取人数及报录比</w:t>
      </w:r>
    </w:p>
    <w:tbl>
      <w:tblPr>
        <w:tblStyle w:val="8"/>
        <w:tblW w:w="875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1272"/>
        <w:gridCol w:w="1955"/>
        <w:gridCol w:w="2010"/>
        <w:gridCol w:w="3518"/>
      </w:tblGrid>
      <w:tr w14:paraId="596DCC6C">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1272" w:type="dxa"/>
            <w:vAlign w:val="center"/>
          </w:tcPr>
          <w:p w14:paraId="3939C69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1955" w:type="dxa"/>
            <w:vAlign w:val="center"/>
          </w:tcPr>
          <w:p w14:paraId="3107275B">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p w14:paraId="09A1984D">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（现场确认）</w:t>
            </w:r>
          </w:p>
        </w:tc>
        <w:tc>
          <w:tcPr>
            <w:tcW w:w="2010" w:type="dxa"/>
            <w:vAlign w:val="center"/>
          </w:tcPr>
          <w:p w14:paraId="13568640">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3518" w:type="dxa"/>
            <w:vAlign w:val="center"/>
          </w:tcPr>
          <w:p w14:paraId="7CB32F1A">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2F89C25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31FDD4D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b/>
                <w:bCs/>
                <w:color w:val="000000" w:themeColor="text1"/>
                <w:kern w:val="0"/>
                <w:sz w:val="28"/>
                <w:szCs w:val="28"/>
                <w:lang w:val="zh-CN"/>
              </w:rPr>
              <w:t>2017</w:t>
            </w:r>
            <w:r>
              <w:rPr>
                <w:rFonts w:hint="eastAsia" w:cs="宋体" w:asciiTheme="minorEastAsia" w:hAnsiTheme="minorEastAsia" w:eastAsiaTheme="minorEastAsia"/>
                <w:b/>
                <w:bCs/>
                <w:color w:val="000000" w:themeColor="text1"/>
                <w:kern w:val="0"/>
                <w:sz w:val="28"/>
                <w:szCs w:val="28"/>
                <w:lang w:val="zh-CN"/>
              </w:rPr>
              <w:t>年</w:t>
            </w:r>
          </w:p>
        </w:tc>
        <w:tc>
          <w:tcPr>
            <w:tcW w:w="1955" w:type="dxa"/>
          </w:tcPr>
          <w:p w14:paraId="4B4CC8D0">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884</w:t>
            </w:r>
          </w:p>
        </w:tc>
        <w:tc>
          <w:tcPr>
            <w:tcW w:w="2010" w:type="dxa"/>
          </w:tcPr>
          <w:p w14:paraId="22B8FFB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244</w:t>
            </w:r>
          </w:p>
        </w:tc>
        <w:tc>
          <w:tcPr>
            <w:tcW w:w="3518" w:type="dxa"/>
          </w:tcPr>
          <w:p w14:paraId="738A1886">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3.89 : 1</w:t>
            </w:r>
          </w:p>
        </w:tc>
      </w:tr>
      <w:tr w14:paraId="1D5298DE">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29A328CC">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2018年</w:t>
            </w:r>
          </w:p>
        </w:tc>
        <w:tc>
          <w:tcPr>
            <w:tcW w:w="1955" w:type="dxa"/>
          </w:tcPr>
          <w:p w14:paraId="5912F9C1">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910</w:t>
            </w:r>
          </w:p>
        </w:tc>
        <w:tc>
          <w:tcPr>
            <w:tcW w:w="2010" w:type="dxa"/>
          </w:tcPr>
          <w:p w14:paraId="7DD46676">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191</w:t>
            </w:r>
          </w:p>
        </w:tc>
        <w:tc>
          <w:tcPr>
            <w:tcW w:w="3518" w:type="dxa"/>
          </w:tcPr>
          <w:p w14:paraId="51B7FCDA">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4.76 : 1</w:t>
            </w:r>
          </w:p>
        </w:tc>
      </w:tr>
      <w:tr w14:paraId="7DCAAA96">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0597D9DE">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2019年</w:t>
            </w:r>
          </w:p>
        </w:tc>
        <w:tc>
          <w:tcPr>
            <w:tcW w:w="1955" w:type="dxa"/>
          </w:tcPr>
          <w:p w14:paraId="63E1AC9D">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1104</w:t>
            </w:r>
          </w:p>
        </w:tc>
        <w:tc>
          <w:tcPr>
            <w:tcW w:w="2010" w:type="dxa"/>
          </w:tcPr>
          <w:p w14:paraId="7B4EE32B">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189</w:t>
            </w:r>
          </w:p>
        </w:tc>
        <w:tc>
          <w:tcPr>
            <w:tcW w:w="3518" w:type="dxa"/>
          </w:tcPr>
          <w:p w14:paraId="01F13631">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5.84 : 1</w:t>
            </w:r>
          </w:p>
        </w:tc>
      </w:tr>
      <w:tr w14:paraId="7E7939D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3F7AB36F">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2020年</w:t>
            </w:r>
          </w:p>
        </w:tc>
        <w:tc>
          <w:tcPr>
            <w:tcW w:w="1955" w:type="dxa"/>
          </w:tcPr>
          <w:p w14:paraId="4F5823F4">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1379</w:t>
            </w:r>
          </w:p>
        </w:tc>
        <w:tc>
          <w:tcPr>
            <w:tcW w:w="2010" w:type="dxa"/>
          </w:tcPr>
          <w:p w14:paraId="2BB50FF4">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277</w:t>
            </w:r>
          </w:p>
        </w:tc>
        <w:tc>
          <w:tcPr>
            <w:tcW w:w="3518" w:type="dxa"/>
          </w:tcPr>
          <w:p w14:paraId="7776D498">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4.98 : 1</w:t>
            </w:r>
          </w:p>
        </w:tc>
      </w:tr>
      <w:tr w14:paraId="1FCF4E3C">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24B92970">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rPr>
            </w:pPr>
            <w:r>
              <w:rPr>
                <w:rFonts w:hint="eastAsia" w:cs="宋体" w:asciiTheme="minorEastAsia" w:hAnsiTheme="minorEastAsia" w:eastAsiaTheme="minorEastAsia"/>
                <w:b/>
                <w:bCs/>
                <w:color w:val="000000" w:themeColor="text1"/>
                <w:kern w:val="0"/>
                <w:sz w:val="28"/>
                <w:szCs w:val="28"/>
              </w:rPr>
              <w:t>2021年</w:t>
            </w:r>
          </w:p>
        </w:tc>
        <w:tc>
          <w:tcPr>
            <w:tcW w:w="1955" w:type="dxa"/>
          </w:tcPr>
          <w:p w14:paraId="183AE791">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1853</w:t>
            </w:r>
          </w:p>
        </w:tc>
        <w:tc>
          <w:tcPr>
            <w:tcW w:w="2010" w:type="dxa"/>
          </w:tcPr>
          <w:p w14:paraId="21D6A305">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420</w:t>
            </w:r>
          </w:p>
        </w:tc>
        <w:tc>
          <w:tcPr>
            <w:tcW w:w="3518" w:type="dxa"/>
          </w:tcPr>
          <w:p w14:paraId="2850633A">
            <w:pPr>
              <w:autoSpaceDE w:val="0"/>
              <w:autoSpaceDN w:val="0"/>
              <w:adjustRightInd w:val="0"/>
              <w:spacing w:line="360" w:lineRule="auto"/>
              <w:jc w:val="center"/>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4.41 : 1</w:t>
            </w:r>
          </w:p>
        </w:tc>
      </w:tr>
    </w:tbl>
    <w:p w14:paraId="209D9D1E">
      <w:pPr>
        <w:autoSpaceDE w:val="0"/>
        <w:autoSpaceDN w:val="0"/>
        <w:adjustRightInd w:val="0"/>
        <w:spacing w:line="360" w:lineRule="auto"/>
        <w:ind w:firstLine="360"/>
        <w:rPr>
          <w:rFonts w:cs="Times New Roman" w:asciiTheme="minorEastAsia" w:hAnsiTheme="minorEastAsia" w:eastAsiaTheme="minorEastAsia"/>
          <w:color w:val="000000" w:themeColor="text1"/>
          <w:kern w:val="0"/>
          <w:sz w:val="28"/>
          <w:szCs w:val="28"/>
          <w:lang w:val="zh-CN"/>
        </w:rPr>
      </w:pPr>
    </w:p>
    <w:p w14:paraId="4F896895">
      <w:pPr>
        <w:tabs>
          <w:tab w:val="left" w:pos="1260"/>
        </w:tabs>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②外招生</w:t>
      </w:r>
    </w:p>
    <w:p w14:paraId="188931A6">
      <w:pPr>
        <w:spacing w:line="360" w:lineRule="auto"/>
        <w:ind w:firstLine="560" w:firstLineChars="200"/>
        <w:rPr>
          <w:rFonts w:cs="Times New Roman"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外招生生源结构方面的显著特点是来源国多元化。</w:t>
      </w:r>
      <w:r>
        <w:rPr>
          <w:rFonts w:cs="Times New Roman" w:asciiTheme="minorEastAsia" w:hAnsiTheme="minorEastAsia" w:eastAsiaTheme="minorEastAsia"/>
          <w:color w:val="000000" w:themeColor="text1"/>
          <w:sz w:val="28"/>
          <w:szCs w:val="28"/>
        </w:rPr>
        <w:t>20</w:t>
      </w:r>
      <w:r>
        <w:rPr>
          <w:rFonts w:hint="eastAsia" w:cs="Times New Roman" w:asciiTheme="minorEastAsia" w:hAnsiTheme="minorEastAsia" w:eastAsiaTheme="minorEastAsia"/>
          <w:color w:val="000000" w:themeColor="text1"/>
          <w:sz w:val="28"/>
          <w:szCs w:val="28"/>
        </w:rPr>
        <w:t>17</w:t>
      </w:r>
      <w:r>
        <w:rPr>
          <w:rFonts w:cs="Times New Roman" w:asciiTheme="minorEastAsia" w:hAnsiTheme="minorEastAsia" w:eastAsiaTheme="minorEastAsia"/>
          <w:color w:val="000000" w:themeColor="text1"/>
          <w:sz w:val="28"/>
          <w:szCs w:val="28"/>
        </w:rPr>
        <w:t>-20</w:t>
      </w:r>
      <w:r>
        <w:rPr>
          <w:rFonts w:hint="eastAsia" w:cs="Times New Roman" w:asciiTheme="minorEastAsia" w:hAnsiTheme="minorEastAsia" w:eastAsiaTheme="minorEastAsia"/>
          <w:color w:val="000000" w:themeColor="text1"/>
          <w:sz w:val="28"/>
          <w:szCs w:val="28"/>
        </w:rPr>
        <w:t>21</w:t>
      </w:r>
      <w:r>
        <w:rPr>
          <w:rFonts w:hint="eastAsia" w:cs="宋体" w:asciiTheme="minorEastAsia" w:hAnsiTheme="minorEastAsia" w:eastAsiaTheme="minorEastAsia"/>
          <w:color w:val="000000" w:themeColor="text1"/>
          <w:sz w:val="28"/>
          <w:szCs w:val="28"/>
        </w:rPr>
        <w:t>年共录取外招生</w:t>
      </w:r>
      <w:r>
        <w:rPr>
          <w:rFonts w:hint="eastAsia" w:cs="Times New Roman" w:asciiTheme="minorEastAsia" w:hAnsiTheme="minorEastAsia" w:eastAsiaTheme="minorEastAsia"/>
          <w:color w:val="000000" w:themeColor="text1"/>
          <w:sz w:val="28"/>
          <w:szCs w:val="28"/>
        </w:rPr>
        <w:t>95</w:t>
      </w:r>
      <w:r>
        <w:rPr>
          <w:rFonts w:hint="eastAsia" w:cs="宋体" w:asciiTheme="minorEastAsia" w:hAnsiTheme="minorEastAsia" w:eastAsiaTheme="minorEastAsia"/>
          <w:color w:val="000000" w:themeColor="text1"/>
          <w:sz w:val="28"/>
          <w:szCs w:val="28"/>
        </w:rPr>
        <w:t>人，来自35个国家，其中包括：埃及、澳大利亚、巴基斯坦、波兰、俄罗斯、刚果（布）、加拿大、美国、缅甸、墨西哥、日本、泰国、印度、印尼等；还有来自</w:t>
      </w:r>
      <w:r>
        <w:rPr>
          <w:rFonts w:hint="eastAsia" w:cs="宋体" w:asciiTheme="minorEastAsia" w:hAnsiTheme="minorEastAsia" w:eastAsiaTheme="minorEastAsia"/>
          <w:color w:val="000000" w:themeColor="text1"/>
          <w:sz w:val="28"/>
          <w:szCs w:val="28"/>
          <w:lang w:val="en-US" w:eastAsia="zh-CN"/>
        </w:rPr>
        <w:t>中国香港、</w:t>
      </w:r>
      <w:r>
        <w:rPr>
          <w:rFonts w:hint="eastAsia" w:cs="宋体" w:asciiTheme="minorEastAsia" w:hAnsiTheme="minorEastAsia" w:eastAsiaTheme="minorEastAsia"/>
          <w:color w:val="000000" w:themeColor="text1"/>
          <w:sz w:val="28"/>
          <w:szCs w:val="28"/>
        </w:rPr>
        <w:t>中国澳门和中国台湾地区的生源。</w:t>
      </w:r>
    </w:p>
    <w:p w14:paraId="45D9FB43">
      <w:pPr>
        <w:tabs>
          <w:tab w:val="left" w:pos="1260"/>
        </w:tabs>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根据</w:t>
      </w:r>
      <w:r>
        <w:rPr>
          <w:rFonts w:hint="eastAsia" w:cs="宋体" w:asciiTheme="minorEastAsia" w:hAnsiTheme="minorEastAsia" w:eastAsiaTheme="minorEastAsia"/>
          <w:color w:val="000000" w:themeColor="text1"/>
          <w:kern w:val="0"/>
          <w:sz w:val="28"/>
          <w:szCs w:val="28"/>
          <w:lang w:val="en-US" w:eastAsia="zh-CN"/>
        </w:rPr>
        <w:t>中华人民共和国</w:t>
      </w:r>
      <w:r>
        <w:rPr>
          <w:rFonts w:hint="eastAsia" w:cs="宋体" w:asciiTheme="minorEastAsia" w:hAnsiTheme="minorEastAsia" w:eastAsiaTheme="minorEastAsia"/>
          <w:color w:val="000000" w:themeColor="text1"/>
          <w:kern w:val="0"/>
          <w:sz w:val="28"/>
          <w:szCs w:val="28"/>
          <w:lang w:val="zh-CN"/>
        </w:rPr>
        <w:t>教育部的要求，来自中国大陆以外的考生有不同的录取程序。但全部考生均必须参加面试和笔试。申请者通过资料审查和笔试、面试后，报学院招生领导小组。最终录取名单由研究生院审核决定。如表</w:t>
      </w:r>
      <w:r>
        <w:rPr>
          <w:rFonts w:cs="宋体" w:asciiTheme="minorEastAsia" w:hAnsiTheme="minorEastAsia" w:eastAsiaTheme="minorEastAsia"/>
          <w:color w:val="000000" w:themeColor="text1"/>
          <w:kern w:val="0"/>
          <w:sz w:val="28"/>
          <w:szCs w:val="28"/>
          <w:lang w:val="zh-CN"/>
        </w:rPr>
        <w:t>2</w:t>
      </w:r>
      <w:r>
        <w:rPr>
          <w:rFonts w:hint="eastAsia" w:cs="宋体" w:asciiTheme="minorEastAsia" w:hAnsiTheme="minorEastAsia" w:eastAsiaTheme="minorEastAsia"/>
          <w:color w:val="000000" w:themeColor="text1"/>
          <w:kern w:val="0"/>
          <w:sz w:val="28"/>
          <w:szCs w:val="28"/>
          <w:lang w:val="zh-CN"/>
        </w:rPr>
        <w:t>所示，通过层层选拔,确保录取优质生源。</w:t>
      </w:r>
    </w:p>
    <w:p w14:paraId="43A442E1">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2. 20</w:t>
      </w:r>
      <w:r>
        <w:rPr>
          <w:rFonts w:hint="eastAsia" w:cs="Times New Roman" w:asciiTheme="minorEastAsia" w:hAnsiTheme="minorEastAsia" w:eastAsiaTheme="minorEastAsia"/>
          <w:color w:val="000000" w:themeColor="text1"/>
          <w:kern w:val="0"/>
          <w:sz w:val="28"/>
          <w:szCs w:val="28"/>
        </w:rPr>
        <w:t>17</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rPr>
        <w:t>21</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外招生报名、录取人数及报录比统计</w:t>
      </w:r>
    </w:p>
    <w:tbl>
      <w:tblPr>
        <w:tblStyle w:val="8"/>
        <w:tblW w:w="875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1272"/>
        <w:gridCol w:w="1955"/>
        <w:gridCol w:w="1843"/>
        <w:gridCol w:w="3685"/>
      </w:tblGrid>
      <w:tr w14:paraId="0C4939F5">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1272" w:type="dxa"/>
            <w:vAlign w:val="center"/>
          </w:tcPr>
          <w:p w14:paraId="308312F8">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1955" w:type="dxa"/>
            <w:vAlign w:val="center"/>
          </w:tcPr>
          <w:p w14:paraId="729AD582">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tc>
        <w:tc>
          <w:tcPr>
            <w:tcW w:w="1843" w:type="dxa"/>
            <w:vAlign w:val="center"/>
          </w:tcPr>
          <w:p w14:paraId="44924BCC">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3685" w:type="dxa"/>
            <w:vAlign w:val="center"/>
          </w:tcPr>
          <w:p w14:paraId="4353587C">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7A1918B2">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603C5F4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b/>
                <w:bCs/>
                <w:color w:val="000000" w:themeColor="text1"/>
                <w:kern w:val="0"/>
                <w:sz w:val="28"/>
                <w:szCs w:val="28"/>
                <w:lang w:val="zh-CN"/>
              </w:rPr>
              <w:t>2017</w:t>
            </w:r>
            <w:r>
              <w:rPr>
                <w:rFonts w:hint="eastAsia" w:cs="宋体" w:asciiTheme="minorEastAsia" w:hAnsiTheme="minorEastAsia" w:eastAsiaTheme="minorEastAsia"/>
                <w:b/>
                <w:bCs/>
                <w:color w:val="000000" w:themeColor="text1"/>
                <w:kern w:val="0"/>
                <w:sz w:val="28"/>
                <w:szCs w:val="28"/>
                <w:lang w:val="zh-CN"/>
              </w:rPr>
              <w:t>年</w:t>
            </w:r>
          </w:p>
        </w:tc>
        <w:tc>
          <w:tcPr>
            <w:tcW w:w="1955" w:type="dxa"/>
          </w:tcPr>
          <w:p w14:paraId="36C2F47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96</w:t>
            </w:r>
          </w:p>
        </w:tc>
        <w:tc>
          <w:tcPr>
            <w:tcW w:w="1843" w:type="dxa"/>
          </w:tcPr>
          <w:p w14:paraId="3F00258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28</w:t>
            </w:r>
          </w:p>
        </w:tc>
        <w:tc>
          <w:tcPr>
            <w:tcW w:w="3685" w:type="dxa"/>
          </w:tcPr>
          <w:p w14:paraId="7B521C1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3.43</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51ABCF6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55C54967">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2018年</w:t>
            </w:r>
          </w:p>
        </w:tc>
        <w:tc>
          <w:tcPr>
            <w:tcW w:w="1955" w:type="dxa"/>
          </w:tcPr>
          <w:p w14:paraId="3E01E220">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27</w:t>
            </w:r>
          </w:p>
        </w:tc>
        <w:tc>
          <w:tcPr>
            <w:tcW w:w="1843" w:type="dxa"/>
          </w:tcPr>
          <w:p w14:paraId="685F2761">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27</w:t>
            </w:r>
          </w:p>
        </w:tc>
        <w:tc>
          <w:tcPr>
            <w:tcW w:w="3685" w:type="dxa"/>
          </w:tcPr>
          <w:p w14:paraId="1D2C4A6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 : 1</w:t>
            </w:r>
          </w:p>
        </w:tc>
      </w:tr>
      <w:tr w14:paraId="7473ED17">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3535F62D">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2019年</w:t>
            </w:r>
          </w:p>
        </w:tc>
        <w:tc>
          <w:tcPr>
            <w:tcW w:w="1955" w:type="dxa"/>
          </w:tcPr>
          <w:p w14:paraId="76176D52">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9</w:t>
            </w:r>
          </w:p>
        </w:tc>
        <w:tc>
          <w:tcPr>
            <w:tcW w:w="1843" w:type="dxa"/>
          </w:tcPr>
          <w:p w14:paraId="7B55A2C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9</w:t>
            </w:r>
          </w:p>
        </w:tc>
        <w:tc>
          <w:tcPr>
            <w:tcW w:w="3685" w:type="dxa"/>
          </w:tcPr>
          <w:p w14:paraId="33E44436">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rPr>
              <w:t>1 : 1</w:t>
            </w:r>
          </w:p>
        </w:tc>
      </w:tr>
      <w:tr w14:paraId="35837743">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6337D09B">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2020年</w:t>
            </w:r>
          </w:p>
        </w:tc>
        <w:tc>
          <w:tcPr>
            <w:tcW w:w="1955" w:type="dxa"/>
          </w:tcPr>
          <w:p w14:paraId="7E4909C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13</w:t>
            </w:r>
          </w:p>
        </w:tc>
        <w:tc>
          <w:tcPr>
            <w:tcW w:w="1843" w:type="dxa"/>
          </w:tcPr>
          <w:p w14:paraId="44BC21A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13</w:t>
            </w:r>
          </w:p>
        </w:tc>
        <w:tc>
          <w:tcPr>
            <w:tcW w:w="3685" w:type="dxa"/>
          </w:tcPr>
          <w:p w14:paraId="37FF0233">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rPr>
              <w:t>1 : 1</w:t>
            </w:r>
          </w:p>
        </w:tc>
      </w:tr>
      <w:tr w14:paraId="4BA6D6D4">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48A4A171">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2021年</w:t>
            </w:r>
          </w:p>
        </w:tc>
        <w:tc>
          <w:tcPr>
            <w:tcW w:w="1955" w:type="dxa"/>
          </w:tcPr>
          <w:p w14:paraId="6020A249">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27</w:t>
            </w:r>
          </w:p>
        </w:tc>
        <w:tc>
          <w:tcPr>
            <w:tcW w:w="1843" w:type="dxa"/>
          </w:tcPr>
          <w:p w14:paraId="0E97259E">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18</w:t>
            </w:r>
          </w:p>
        </w:tc>
        <w:tc>
          <w:tcPr>
            <w:tcW w:w="3685" w:type="dxa"/>
          </w:tcPr>
          <w:p w14:paraId="1D56573D">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rPr>
            </w:pPr>
            <w:r>
              <w:rPr>
                <w:rFonts w:hint="eastAsia" w:cs="Times New Roman" w:asciiTheme="minorEastAsia" w:hAnsiTheme="minorEastAsia" w:eastAsiaTheme="minorEastAsia"/>
                <w:color w:val="000000" w:themeColor="text1"/>
                <w:kern w:val="0"/>
                <w:sz w:val="28"/>
                <w:szCs w:val="28"/>
              </w:rPr>
              <w:t>1.5 : 1</w:t>
            </w:r>
          </w:p>
        </w:tc>
      </w:tr>
    </w:tbl>
    <w:p w14:paraId="609EA1A0">
      <w:pPr>
        <w:autoSpaceDE w:val="0"/>
        <w:autoSpaceDN w:val="0"/>
        <w:adjustRightInd w:val="0"/>
        <w:spacing w:line="360" w:lineRule="auto"/>
        <w:rPr>
          <w:rFonts w:cs="Times New Roman" w:asciiTheme="minorEastAsia" w:hAnsiTheme="minorEastAsia" w:eastAsiaTheme="minorEastAsia"/>
          <w:color w:val="000000" w:themeColor="text1"/>
          <w:kern w:val="0"/>
          <w:sz w:val="28"/>
          <w:szCs w:val="28"/>
          <w:lang w:val="zh-CN"/>
        </w:rPr>
      </w:pPr>
    </w:p>
    <w:p w14:paraId="00ABC32F">
      <w:pPr>
        <w:tabs>
          <w:tab w:val="left" w:pos="1260"/>
        </w:tabs>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EMBA</w:t>
      </w:r>
    </w:p>
    <w:p w14:paraId="39939075">
      <w:pPr>
        <w:tabs>
          <w:tab w:val="left" w:pos="1260"/>
        </w:tabs>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由于国家招考政策的调整，我院EMBA项目积极应对并调整招生策略，通过围绕粤港澳大湾区中小型企业的可持续发展为目标，立足于中高层管理人才的发展为核心，不断优化人才培养模式，近年报考我院EMBA的生源也在不断增加。</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生源结构凸显了行业的多样化，如“制造业”“金融地产”“商业服务”等行业具有较高比例；湾区经济结构的多元化，如来自民营企业的学生占比最多；管理层面，职务以高层管理者居多。</w:t>
      </w:r>
    </w:p>
    <w:p w14:paraId="3273E6CF">
      <w:pPr>
        <w:tabs>
          <w:tab w:val="left" w:pos="1260"/>
        </w:tabs>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下表所示是近</w:t>
      </w:r>
      <w:r>
        <w:rPr>
          <w:rFonts w:cs="Times New Roman" w:asciiTheme="minorEastAsia" w:hAnsiTheme="minorEastAsia" w:eastAsiaTheme="minorEastAsia"/>
          <w:color w:val="000000" w:themeColor="text1"/>
          <w:kern w:val="0"/>
          <w:sz w:val="28"/>
          <w:szCs w:val="28"/>
          <w:lang w:val="zh-CN"/>
        </w:rPr>
        <w:t>5</w:t>
      </w:r>
      <w:r>
        <w:rPr>
          <w:rFonts w:hint="eastAsia" w:cs="宋体" w:asciiTheme="minorEastAsia" w:hAnsiTheme="minorEastAsia" w:eastAsiaTheme="minorEastAsia"/>
          <w:color w:val="000000" w:themeColor="text1"/>
          <w:kern w:val="0"/>
          <w:sz w:val="28"/>
          <w:szCs w:val="28"/>
          <w:lang w:val="zh-CN"/>
        </w:rPr>
        <w:t>年来</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招生的报考数量、录取比例、录取人数情况。</w:t>
      </w:r>
    </w:p>
    <w:p w14:paraId="3E6019B2">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3. 201</w:t>
      </w:r>
      <w:r>
        <w:rPr>
          <w:rFonts w:hint="eastAsia" w:cs="Times New Roman" w:asciiTheme="minorEastAsia" w:hAnsiTheme="minorEastAsia" w:eastAsiaTheme="minorEastAsia"/>
          <w:color w:val="000000" w:themeColor="text1"/>
          <w:kern w:val="0"/>
          <w:sz w:val="28"/>
          <w:szCs w:val="28"/>
          <w:lang w:val="zh-CN"/>
        </w:rPr>
        <w:t>7</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lang w:val="zh-CN"/>
        </w:rPr>
        <w:t>21</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报名、录取人数及报录比统计</w:t>
      </w:r>
    </w:p>
    <w:tbl>
      <w:tblPr>
        <w:tblStyle w:val="8"/>
        <w:tblW w:w="875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1272"/>
        <w:gridCol w:w="1955"/>
        <w:gridCol w:w="1843"/>
        <w:gridCol w:w="3685"/>
      </w:tblGrid>
      <w:tr w14:paraId="0499B0A8">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629" w:hRule="atLeast"/>
        </w:trPr>
        <w:tc>
          <w:tcPr>
            <w:tcW w:w="1272" w:type="dxa"/>
            <w:vAlign w:val="center"/>
          </w:tcPr>
          <w:p w14:paraId="5BFBEA8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1955" w:type="dxa"/>
            <w:vAlign w:val="center"/>
          </w:tcPr>
          <w:p w14:paraId="17EA8915">
            <w:pPr>
              <w:autoSpaceDE w:val="0"/>
              <w:autoSpaceDN w:val="0"/>
              <w:adjustRightInd w:val="0"/>
              <w:spacing w:line="360" w:lineRule="auto"/>
              <w:jc w:val="center"/>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报考人数</w:t>
            </w:r>
          </w:p>
          <w:p w14:paraId="4AA0C3AA">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（现场确认）</w:t>
            </w:r>
          </w:p>
        </w:tc>
        <w:tc>
          <w:tcPr>
            <w:tcW w:w="1843" w:type="dxa"/>
            <w:vAlign w:val="center"/>
          </w:tcPr>
          <w:p w14:paraId="1063CEA8">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录取人数</w:t>
            </w:r>
          </w:p>
        </w:tc>
        <w:tc>
          <w:tcPr>
            <w:tcW w:w="3685" w:type="dxa"/>
            <w:vAlign w:val="center"/>
          </w:tcPr>
          <w:p w14:paraId="0F7CB7E3">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考录比</w:t>
            </w:r>
          </w:p>
        </w:tc>
      </w:tr>
      <w:tr w14:paraId="7BD879EC">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53DC696A">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b/>
                <w:bCs/>
                <w:color w:val="000000" w:themeColor="text1"/>
                <w:kern w:val="0"/>
                <w:sz w:val="28"/>
                <w:szCs w:val="28"/>
                <w:lang w:val="zh-CN"/>
              </w:rPr>
              <w:t>2017</w:t>
            </w:r>
            <w:r>
              <w:rPr>
                <w:rFonts w:hint="eastAsia" w:cs="宋体" w:asciiTheme="minorEastAsia" w:hAnsiTheme="minorEastAsia" w:eastAsiaTheme="minorEastAsia"/>
                <w:b/>
                <w:bCs/>
                <w:color w:val="000000" w:themeColor="text1"/>
                <w:kern w:val="0"/>
                <w:sz w:val="28"/>
                <w:szCs w:val="28"/>
                <w:lang w:val="zh-CN"/>
              </w:rPr>
              <w:t>年</w:t>
            </w:r>
          </w:p>
        </w:tc>
        <w:tc>
          <w:tcPr>
            <w:tcW w:w="1955" w:type="dxa"/>
            <w:vAlign w:val="center"/>
          </w:tcPr>
          <w:p w14:paraId="12C5C97D">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60</w:t>
            </w:r>
          </w:p>
        </w:tc>
        <w:tc>
          <w:tcPr>
            <w:tcW w:w="1843" w:type="dxa"/>
            <w:vAlign w:val="center"/>
          </w:tcPr>
          <w:p w14:paraId="697A97B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17</w:t>
            </w:r>
          </w:p>
        </w:tc>
        <w:tc>
          <w:tcPr>
            <w:tcW w:w="3685" w:type="dxa"/>
            <w:vAlign w:val="center"/>
          </w:tcPr>
          <w:p w14:paraId="69BC8E1E">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3.53</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54190A08">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049B6048">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2018年</w:t>
            </w:r>
          </w:p>
        </w:tc>
        <w:tc>
          <w:tcPr>
            <w:tcW w:w="1955" w:type="dxa"/>
            <w:vAlign w:val="center"/>
          </w:tcPr>
          <w:p w14:paraId="467056B0">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72</w:t>
            </w:r>
          </w:p>
        </w:tc>
        <w:tc>
          <w:tcPr>
            <w:tcW w:w="1843" w:type="dxa"/>
            <w:vAlign w:val="center"/>
          </w:tcPr>
          <w:p w14:paraId="0981A78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35</w:t>
            </w:r>
          </w:p>
        </w:tc>
        <w:tc>
          <w:tcPr>
            <w:tcW w:w="3685" w:type="dxa"/>
            <w:vAlign w:val="center"/>
          </w:tcPr>
          <w:p w14:paraId="06478A4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2.06</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4F910FFB">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53BC9C0E">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2019年</w:t>
            </w:r>
          </w:p>
        </w:tc>
        <w:tc>
          <w:tcPr>
            <w:tcW w:w="1955" w:type="dxa"/>
            <w:vAlign w:val="center"/>
          </w:tcPr>
          <w:p w14:paraId="28F66BA8">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123</w:t>
            </w:r>
          </w:p>
        </w:tc>
        <w:tc>
          <w:tcPr>
            <w:tcW w:w="1843" w:type="dxa"/>
            <w:vAlign w:val="center"/>
          </w:tcPr>
          <w:p w14:paraId="159E9D0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41</w:t>
            </w:r>
          </w:p>
        </w:tc>
        <w:tc>
          <w:tcPr>
            <w:tcW w:w="3685" w:type="dxa"/>
            <w:vAlign w:val="center"/>
          </w:tcPr>
          <w:p w14:paraId="045AA41B">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1DE175F0">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17CEE4BD">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2020年</w:t>
            </w:r>
          </w:p>
        </w:tc>
        <w:tc>
          <w:tcPr>
            <w:tcW w:w="1955" w:type="dxa"/>
            <w:vAlign w:val="center"/>
          </w:tcPr>
          <w:p w14:paraId="46C5874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144</w:t>
            </w:r>
          </w:p>
        </w:tc>
        <w:tc>
          <w:tcPr>
            <w:tcW w:w="1843" w:type="dxa"/>
            <w:vAlign w:val="center"/>
          </w:tcPr>
          <w:p w14:paraId="2797355A">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38</w:t>
            </w:r>
          </w:p>
        </w:tc>
        <w:tc>
          <w:tcPr>
            <w:tcW w:w="3685" w:type="dxa"/>
            <w:vAlign w:val="center"/>
          </w:tcPr>
          <w:p w14:paraId="1642A8A1">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3.79</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r w14:paraId="48D150B5">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01D59CC5">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2021年</w:t>
            </w:r>
          </w:p>
        </w:tc>
        <w:tc>
          <w:tcPr>
            <w:tcW w:w="1955" w:type="dxa"/>
            <w:vAlign w:val="center"/>
          </w:tcPr>
          <w:p w14:paraId="6EDD704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188</w:t>
            </w:r>
          </w:p>
        </w:tc>
        <w:tc>
          <w:tcPr>
            <w:tcW w:w="1843" w:type="dxa"/>
            <w:vAlign w:val="center"/>
          </w:tcPr>
          <w:p w14:paraId="06765F3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61</w:t>
            </w:r>
          </w:p>
        </w:tc>
        <w:tc>
          <w:tcPr>
            <w:tcW w:w="3685" w:type="dxa"/>
            <w:vAlign w:val="center"/>
          </w:tcPr>
          <w:p w14:paraId="468FF35E">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3.08</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1</w:t>
            </w:r>
          </w:p>
        </w:tc>
      </w:tr>
    </w:tbl>
    <w:p w14:paraId="5DDA81BF">
      <w:pPr>
        <w:tabs>
          <w:tab w:val="left" w:pos="1260"/>
        </w:tabs>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学生平均年龄在</w:t>
      </w:r>
      <w:r>
        <w:rPr>
          <w:rFonts w:cs="Times New Roman" w:asciiTheme="minorEastAsia" w:hAnsiTheme="minorEastAsia" w:eastAsiaTheme="minorEastAsia"/>
          <w:color w:val="000000" w:themeColor="text1"/>
          <w:kern w:val="0"/>
          <w:sz w:val="28"/>
          <w:szCs w:val="28"/>
          <w:lang w:val="zh-CN"/>
        </w:rPr>
        <w:t>35</w:t>
      </w:r>
      <w:r>
        <w:rPr>
          <w:rFonts w:hint="eastAsia" w:cs="宋体" w:asciiTheme="minorEastAsia" w:hAnsiTheme="minorEastAsia" w:eastAsiaTheme="minorEastAsia"/>
          <w:color w:val="000000" w:themeColor="text1"/>
          <w:kern w:val="0"/>
          <w:sz w:val="28"/>
          <w:szCs w:val="28"/>
          <w:lang w:val="zh-CN"/>
        </w:rPr>
        <w:t>岁，大都具有丰富的工作和管理经验，如表</w:t>
      </w:r>
      <w:r>
        <w:rPr>
          <w:rFonts w:cs="Times New Roman" w:asciiTheme="minorEastAsia" w:hAnsiTheme="minorEastAsia" w:eastAsiaTheme="minorEastAsia"/>
          <w:color w:val="000000" w:themeColor="text1"/>
          <w:kern w:val="0"/>
          <w:sz w:val="28"/>
          <w:szCs w:val="28"/>
          <w:lang w:val="zh-CN"/>
        </w:rPr>
        <w:t>4</w:t>
      </w:r>
      <w:r>
        <w:rPr>
          <w:rFonts w:hint="eastAsia" w:cs="宋体" w:asciiTheme="minorEastAsia" w:hAnsiTheme="minorEastAsia" w:eastAsiaTheme="minorEastAsia"/>
          <w:color w:val="000000" w:themeColor="text1"/>
          <w:kern w:val="0"/>
          <w:sz w:val="28"/>
          <w:szCs w:val="28"/>
          <w:lang w:val="zh-CN"/>
        </w:rPr>
        <w:t>所示。</w:t>
      </w:r>
    </w:p>
    <w:p w14:paraId="3E3FCF86">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表</w:t>
      </w:r>
      <w:r>
        <w:rPr>
          <w:rFonts w:cs="Times New Roman" w:asciiTheme="minorEastAsia" w:hAnsiTheme="minorEastAsia" w:eastAsiaTheme="minorEastAsia"/>
          <w:color w:val="000000" w:themeColor="text1"/>
          <w:kern w:val="0"/>
          <w:sz w:val="28"/>
          <w:szCs w:val="28"/>
          <w:lang w:val="zh-CN"/>
        </w:rPr>
        <w:t>4. 201</w:t>
      </w:r>
      <w:r>
        <w:rPr>
          <w:rFonts w:hint="eastAsia" w:cs="Times New Roman" w:asciiTheme="minorEastAsia" w:hAnsiTheme="minorEastAsia" w:eastAsiaTheme="minorEastAsia"/>
          <w:color w:val="000000" w:themeColor="text1"/>
          <w:kern w:val="0"/>
          <w:sz w:val="28"/>
          <w:szCs w:val="28"/>
          <w:lang w:val="zh-CN"/>
        </w:rPr>
        <w:t>7</w:t>
      </w:r>
      <w:r>
        <w:rPr>
          <w:rFonts w:cs="Times New Roman" w:asciiTheme="minorEastAsia" w:hAnsiTheme="minorEastAsia" w:eastAsiaTheme="minorEastAsia"/>
          <w:color w:val="000000" w:themeColor="text1"/>
          <w:kern w:val="0"/>
          <w:sz w:val="28"/>
          <w:szCs w:val="28"/>
          <w:lang w:val="zh-CN"/>
        </w:rPr>
        <w:t>-20</w:t>
      </w:r>
      <w:r>
        <w:rPr>
          <w:rFonts w:hint="eastAsia" w:cs="Times New Roman" w:asciiTheme="minorEastAsia" w:hAnsiTheme="minorEastAsia" w:eastAsiaTheme="minorEastAsia"/>
          <w:color w:val="000000" w:themeColor="text1"/>
          <w:kern w:val="0"/>
          <w:sz w:val="28"/>
          <w:szCs w:val="28"/>
          <w:lang w:val="zh-CN"/>
        </w:rPr>
        <w:t>21</w:t>
      </w:r>
      <w:r>
        <w:rPr>
          <w:rFonts w:hint="eastAsia" w:cs="宋体" w:asciiTheme="minorEastAsia" w:hAnsiTheme="minorEastAsia" w:eastAsiaTheme="minorEastAsia"/>
          <w:color w:val="000000" w:themeColor="text1"/>
          <w:kern w:val="0"/>
          <w:sz w:val="28"/>
          <w:szCs w:val="28"/>
          <w:lang w:val="zh-CN"/>
        </w:rPr>
        <w:t>年</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年龄、工龄及管理年限统计</w:t>
      </w:r>
    </w:p>
    <w:tbl>
      <w:tblPr>
        <w:tblStyle w:val="8"/>
        <w:tblW w:w="8755" w:type="dxa"/>
        <w:tblInd w:w="-106"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fixed"/>
        <w:tblCellMar>
          <w:top w:w="0" w:type="dxa"/>
          <w:left w:w="108" w:type="dxa"/>
          <w:bottom w:w="0" w:type="dxa"/>
          <w:right w:w="108" w:type="dxa"/>
        </w:tblCellMar>
      </w:tblPr>
      <w:tblGrid>
        <w:gridCol w:w="1272"/>
        <w:gridCol w:w="1955"/>
        <w:gridCol w:w="1843"/>
        <w:gridCol w:w="3685"/>
      </w:tblGrid>
      <w:tr w14:paraId="32D5F4D2">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rPr>
          <w:trHeight w:val="629" w:hRule="atLeast"/>
        </w:trPr>
        <w:tc>
          <w:tcPr>
            <w:tcW w:w="1272" w:type="dxa"/>
            <w:vAlign w:val="center"/>
          </w:tcPr>
          <w:p w14:paraId="2C3B55C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年份</w:t>
            </w:r>
          </w:p>
        </w:tc>
        <w:tc>
          <w:tcPr>
            <w:tcW w:w="1955" w:type="dxa"/>
            <w:vAlign w:val="center"/>
          </w:tcPr>
          <w:p w14:paraId="637BB17E">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平均年龄</w:t>
            </w:r>
          </w:p>
        </w:tc>
        <w:tc>
          <w:tcPr>
            <w:tcW w:w="1843" w:type="dxa"/>
            <w:vAlign w:val="center"/>
          </w:tcPr>
          <w:p w14:paraId="4E2437A9">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平均工龄</w:t>
            </w:r>
          </w:p>
        </w:tc>
        <w:tc>
          <w:tcPr>
            <w:tcW w:w="3685" w:type="dxa"/>
            <w:vAlign w:val="center"/>
          </w:tcPr>
          <w:p w14:paraId="346552A9">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平均管理年限</w:t>
            </w:r>
          </w:p>
        </w:tc>
      </w:tr>
      <w:tr w14:paraId="1AFF0C15">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0295720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b/>
                <w:bCs/>
                <w:color w:val="000000" w:themeColor="text1"/>
                <w:kern w:val="0"/>
                <w:sz w:val="28"/>
                <w:szCs w:val="28"/>
                <w:lang w:val="zh-CN"/>
              </w:rPr>
              <w:t>2017</w:t>
            </w:r>
            <w:r>
              <w:rPr>
                <w:rFonts w:hint="eastAsia" w:cs="宋体" w:asciiTheme="minorEastAsia" w:hAnsiTheme="minorEastAsia" w:eastAsiaTheme="minorEastAsia"/>
                <w:b/>
                <w:bCs/>
                <w:color w:val="000000" w:themeColor="text1"/>
                <w:kern w:val="0"/>
                <w:sz w:val="28"/>
                <w:szCs w:val="28"/>
                <w:lang w:val="zh-CN"/>
              </w:rPr>
              <w:t>年</w:t>
            </w:r>
          </w:p>
        </w:tc>
        <w:tc>
          <w:tcPr>
            <w:tcW w:w="1955" w:type="dxa"/>
            <w:vAlign w:val="center"/>
          </w:tcPr>
          <w:p w14:paraId="5D1709A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38</w:t>
            </w:r>
          </w:p>
        </w:tc>
        <w:tc>
          <w:tcPr>
            <w:tcW w:w="1843" w:type="dxa"/>
            <w:vAlign w:val="center"/>
          </w:tcPr>
          <w:p w14:paraId="33AF4C56">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18.23</w:t>
            </w:r>
          </w:p>
        </w:tc>
        <w:tc>
          <w:tcPr>
            <w:tcW w:w="3685" w:type="dxa"/>
            <w:vAlign w:val="center"/>
          </w:tcPr>
          <w:p w14:paraId="5C721D36">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13.67</w:t>
            </w:r>
          </w:p>
        </w:tc>
      </w:tr>
      <w:tr w14:paraId="0E410D08">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45A86005">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2018年</w:t>
            </w:r>
          </w:p>
        </w:tc>
        <w:tc>
          <w:tcPr>
            <w:tcW w:w="1955" w:type="dxa"/>
            <w:vAlign w:val="bottom"/>
          </w:tcPr>
          <w:p w14:paraId="2E598C74">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36.6</w:t>
            </w:r>
          </w:p>
        </w:tc>
        <w:tc>
          <w:tcPr>
            <w:tcW w:w="1843" w:type="dxa"/>
            <w:vAlign w:val="bottom"/>
          </w:tcPr>
          <w:p w14:paraId="5938CA5A">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13.65</w:t>
            </w:r>
          </w:p>
        </w:tc>
        <w:tc>
          <w:tcPr>
            <w:tcW w:w="3685" w:type="dxa"/>
            <w:vAlign w:val="bottom"/>
          </w:tcPr>
          <w:p w14:paraId="5B3E81C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8.65</w:t>
            </w:r>
          </w:p>
        </w:tc>
      </w:tr>
      <w:tr w14:paraId="7ACAA5CA">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581771C4">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2019年</w:t>
            </w:r>
          </w:p>
        </w:tc>
        <w:tc>
          <w:tcPr>
            <w:tcW w:w="1955" w:type="dxa"/>
            <w:vAlign w:val="center"/>
          </w:tcPr>
          <w:p w14:paraId="36ECC9B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33.41</w:t>
            </w:r>
          </w:p>
        </w:tc>
        <w:tc>
          <w:tcPr>
            <w:tcW w:w="1843" w:type="dxa"/>
            <w:vAlign w:val="center"/>
          </w:tcPr>
          <w:p w14:paraId="5A499135">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11.24</w:t>
            </w:r>
          </w:p>
        </w:tc>
        <w:tc>
          <w:tcPr>
            <w:tcW w:w="3685" w:type="dxa"/>
            <w:vAlign w:val="center"/>
          </w:tcPr>
          <w:p w14:paraId="33109806">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6.58</w:t>
            </w:r>
          </w:p>
        </w:tc>
      </w:tr>
      <w:tr w14:paraId="507A7C7F">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3DFC1F5E">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2020年</w:t>
            </w:r>
          </w:p>
        </w:tc>
        <w:tc>
          <w:tcPr>
            <w:tcW w:w="1955" w:type="dxa"/>
            <w:vAlign w:val="center"/>
          </w:tcPr>
          <w:p w14:paraId="5BF22D1D">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34.4</w:t>
            </w:r>
          </w:p>
        </w:tc>
        <w:tc>
          <w:tcPr>
            <w:tcW w:w="1843" w:type="dxa"/>
            <w:vAlign w:val="center"/>
          </w:tcPr>
          <w:p w14:paraId="7BF75ACE">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11.56</w:t>
            </w:r>
          </w:p>
        </w:tc>
        <w:tc>
          <w:tcPr>
            <w:tcW w:w="3685" w:type="dxa"/>
            <w:vAlign w:val="center"/>
          </w:tcPr>
          <w:p w14:paraId="063F8167">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6.62</w:t>
            </w:r>
          </w:p>
        </w:tc>
      </w:tr>
      <w:tr w14:paraId="488D7319">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Ex>
        <w:trPr>
          <w:trHeight w:val="319" w:hRule="atLeast"/>
        </w:trPr>
        <w:tc>
          <w:tcPr>
            <w:tcW w:w="1272" w:type="dxa"/>
          </w:tcPr>
          <w:p w14:paraId="2292916F">
            <w:pPr>
              <w:autoSpaceDE w:val="0"/>
              <w:autoSpaceDN w:val="0"/>
              <w:adjustRightInd w:val="0"/>
              <w:spacing w:line="360" w:lineRule="auto"/>
              <w:jc w:val="center"/>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2021年</w:t>
            </w:r>
          </w:p>
        </w:tc>
        <w:tc>
          <w:tcPr>
            <w:tcW w:w="1955" w:type="dxa"/>
            <w:vAlign w:val="center"/>
          </w:tcPr>
          <w:p w14:paraId="2DDB553C">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37.2</w:t>
            </w:r>
          </w:p>
        </w:tc>
        <w:tc>
          <w:tcPr>
            <w:tcW w:w="1843" w:type="dxa"/>
            <w:vAlign w:val="center"/>
          </w:tcPr>
          <w:p w14:paraId="1E9FBBC0">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14.13</w:t>
            </w:r>
          </w:p>
        </w:tc>
        <w:tc>
          <w:tcPr>
            <w:tcW w:w="3685" w:type="dxa"/>
            <w:vAlign w:val="center"/>
          </w:tcPr>
          <w:p w14:paraId="2C392DAF">
            <w:pPr>
              <w:autoSpaceDE w:val="0"/>
              <w:autoSpaceDN w:val="0"/>
              <w:adjustRightInd w:val="0"/>
              <w:spacing w:line="360" w:lineRule="auto"/>
              <w:jc w:val="center"/>
              <w:rPr>
                <w:rFonts w:cs="Times New Roman" w:asciiTheme="minorEastAsia" w:hAnsiTheme="minorEastAsia" w:eastAsiaTheme="minorEastAsia"/>
                <w:color w:val="000000" w:themeColor="text1"/>
                <w:kern w:val="0"/>
                <w:sz w:val="28"/>
                <w:szCs w:val="28"/>
                <w:lang w:val="zh-CN"/>
              </w:rPr>
            </w:pPr>
            <w:r>
              <w:rPr>
                <w:rFonts w:hint="eastAsia" w:cs="Times New Roman" w:asciiTheme="minorEastAsia" w:hAnsiTheme="minorEastAsia" w:eastAsiaTheme="minorEastAsia"/>
                <w:color w:val="000000" w:themeColor="text1"/>
                <w:kern w:val="0"/>
                <w:sz w:val="28"/>
                <w:szCs w:val="28"/>
                <w:lang w:val="zh-CN"/>
              </w:rPr>
              <w:t>8.31</w:t>
            </w:r>
          </w:p>
        </w:tc>
      </w:tr>
    </w:tbl>
    <w:p w14:paraId="091BEE09">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p>
    <w:p w14:paraId="43056174">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Times New Roman" w:asciiTheme="minorEastAsia" w:hAnsiTheme="minorEastAsia" w:eastAsiaTheme="minorEastAsia"/>
          <w:b/>
          <w:bCs/>
          <w:color w:val="000000" w:themeColor="text1"/>
          <w:kern w:val="0"/>
          <w:sz w:val="28"/>
          <w:szCs w:val="28"/>
          <w:lang w:val="zh-CN"/>
        </w:rPr>
        <w:t>2.思政教育</w:t>
      </w:r>
    </w:p>
    <w:p w14:paraId="06A7D7B4">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rPr>
        <w:t>提升学生思想政治理论素养，实现知、情、意、行的统一。近五年来，暨南大学管理学院工商管理硕士党支部队伍不断发展壮大，现有正式党员15人，预备党员5人，积极分子13人。充分发挥MBA中心班主任党员数量占比半数以上的党员先锋优势，以学生为主、班主任为辅，持续</w:t>
      </w:r>
      <w:r>
        <w:rPr>
          <w:rFonts w:hint="eastAsia" w:cs="宋体" w:asciiTheme="minorEastAsia" w:hAnsiTheme="minorEastAsia" w:eastAsiaTheme="minorEastAsia"/>
          <w:color w:val="000000" w:themeColor="text1"/>
          <w:kern w:val="0"/>
          <w:sz w:val="28"/>
          <w:szCs w:val="28"/>
          <w:lang w:val="zh-CN"/>
        </w:rPr>
        <w:t>发挥战斗堡垒和主力军作用，</w:t>
      </w:r>
      <w:r>
        <w:rPr>
          <w:rFonts w:hint="eastAsia" w:cs="宋体" w:asciiTheme="minorEastAsia" w:hAnsiTheme="minorEastAsia" w:eastAsiaTheme="minorEastAsia"/>
          <w:color w:val="000000" w:themeColor="text1"/>
          <w:kern w:val="0"/>
          <w:sz w:val="28"/>
          <w:szCs w:val="28"/>
        </w:rPr>
        <w:t>将思政教育与</w:t>
      </w:r>
      <w:r>
        <w:rPr>
          <w:rFonts w:hint="eastAsia" w:cs="宋体" w:asciiTheme="minorEastAsia" w:hAnsiTheme="minorEastAsia" w:eastAsiaTheme="minorEastAsia"/>
          <w:color w:val="000000" w:themeColor="text1"/>
          <w:kern w:val="0"/>
          <w:sz w:val="28"/>
          <w:szCs w:val="28"/>
          <w:lang w:val="zh-CN"/>
        </w:rPr>
        <w:t>MBA学科特点、</w:t>
      </w:r>
      <w:r>
        <w:rPr>
          <w:rFonts w:hint="eastAsia" w:cs="宋体" w:asciiTheme="minorEastAsia" w:hAnsiTheme="minorEastAsia" w:eastAsiaTheme="minorEastAsia"/>
          <w:color w:val="000000" w:themeColor="text1"/>
          <w:kern w:val="0"/>
          <w:sz w:val="28"/>
          <w:szCs w:val="28"/>
        </w:rPr>
        <w:t>党史</w:t>
      </w:r>
      <w:r>
        <w:rPr>
          <w:rFonts w:hint="eastAsia" w:cs="宋体" w:asciiTheme="minorEastAsia" w:hAnsiTheme="minorEastAsia" w:eastAsiaTheme="minorEastAsia"/>
          <w:color w:val="000000" w:themeColor="text1"/>
          <w:kern w:val="0"/>
          <w:sz w:val="28"/>
          <w:szCs w:val="28"/>
          <w:lang w:val="zh-CN"/>
        </w:rPr>
        <w:t>教育、实践活动相结合，</w:t>
      </w:r>
      <w:r>
        <w:rPr>
          <w:rFonts w:hint="eastAsia" w:cs="宋体" w:asciiTheme="minorEastAsia" w:hAnsiTheme="minorEastAsia" w:eastAsiaTheme="minorEastAsia"/>
          <w:color w:val="000000" w:themeColor="text1"/>
          <w:kern w:val="0"/>
          <w:sz w:val="28"/>
          <w:szCs w:val="28"/>
        </w:rPr>
        <w:t>团结凝聚港澳台侨同胞和海外侨胞，开展各项</w:t>
      </w:r>
      <w:r>
        <w:rPr>
          <w:rFonts w:hint="eastAsia" w:cs="宋体" w:asciiTheme="minorEastAsia" w:hAnsiTheme="minorEastAsia" w:eastAsiaTheme="minorEastAsia"/>
          <w:color w:val="000000" w:themeColor="text1"/>
          <w:kern w:val="0"/>
          <w:sz w:val="28"/>
          <w:szCs w:val="28"/>
          <w:lang w:val="zh-CN"/>
        </w:rPr>
        <w:t>主题鲜明、独具特色的</w:t>
      </w:r>
      <w:r>
        <w:rPr>
          <w:rFonts w:hint="eastAsia" w:cs="宋体" w:asciiTheme="minorEastAsia" w:hAnsiTheme="minorEastAsia" w:eastAsiaTheme="minorEastAsia"/>
          <w:color w:val="000000" w:themeColor="text1"/>
          <w:kern w:val="0"/>
          <w:sz w:val="28"/>
          <w:szCs w:val="28"/>
        </w:rPr>
        <w:t>党建活动。带领学生走进</w:t>
      </w:r>
      <w:r>
        <w:rPr>
          <w:rFonts w:hint="eastAsia" w:cs="宋体" w:asciiTheme="minorEastAsia" w:hAnsiTheme="minorEastAsia" w:eastAsiaTheme="minorEastAsia"/>
          <w:color w:val="000000" w:themeColor="text1"/>
          <w:kern w:val="0"/>
          <w:sz w:val="28"/>
          <w:szCs w:val="28"/>
          <w:lang w:val="zh-CN"/>
        </w:rPr>
        <w:t>广州越秀区的烈士陵园、广州地铁集团红色羊角党建基地，</w:t>
      </w:r>
      <w:r>
        <w:rPr>
          <w:rFonts w:hint="eastAsia" w:cs="宋体" w:asciiTheme="minorEastAsia" w:hAnsiTheme="minorEastAsia" w:eastAsiaTheme="minorEastAsia"/>
          <w:color w:val="000000" w:themeColor="text1"/>
          <w:kern w:val="0"/>
          <w:sz w:val="28"/>
          <w:szCs w:val="28"/>
        </w:rPr>
        <w:t>学党史讲心得，</w:t>
      </w:r>
      <w:r>
        <w:rPr>
          <w:rFonts w:hint="eastAsia" w:cs="宋体" w:asciiTheme="minorEastAsia" w:hAnsiTheme="minorEastAsia" w:eastAsiaTheme="minorEastAsia"/>
          <w:color w:val="000000" w:themeColor="text1"/>
          <w:kern w:val="0"/>
          <w:sz w:val="28"/>
          <w:szCs w:val="28"/>
          <w:lang w:val="zh-CN"/>
        </w:rPr>
        <w:t>为同学们思想觉悟的提高、个人职业生涯的发展</w:t>
      </w:r>
      <w:r>
        <w:rPr>
          <w:rFonts w:hint="eastAsia" w:cs="宋体" w:asciiTheme="minorEastAsia" w:hAnsiTheme="minorEastAsia" w:eastAsiaTheme="minorEastAsia"/>
          <w:color w:val="000000" w:themeColor="text1"/>
          <w:kern w:val="0"/>
          <w:sz w:val="28"/>
          <w:szCs w:val="28"/>
        </w:rPr>
        <w:t>埋下红色基因的火种</w:t>
      </w:r>
      <w:r>
        <w:rPr>
          <w:rFonts w:hint="eastAsia"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rPr>
        <w:t>为中华优秀传统文化的传播</w:t>
      </w:r>
      <w:r>
        <w:rPr>
          <w:rFonts w:hint="eastAsia" w:cs="宋体" w:asciiTheme="minorEastAsia" w:hAnsiTheme="minorEastAsia" w:eastAsiaTheme="minorEastAsia"/>
          <w:color w:val="000000" w:themeColor="text1"/>
          <w:kern w:val="0"/>
          <w:sz w:val="28"/>
          <w:szCs w:val="28"/>
          <w:lang w:val="zh-CN"/>
        </w:rPr>
        <w:t>做出更大的贡献。</w:t>
      </w:r>
    </w:p>
    <w:p w14:paraId="4D8ED7CA">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p>
    <w:p w14:paraId="204307A5">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3</w:t>
      </w:r>
      <w:r>
        <w:rPr>
          <w:rFonts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课程教学</w:t>
      </w:r>
    </w:p>
    <w:p w14:paraId="4F6F7166">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课程设置是实现培养目标的重要手段。我院拥有百年商科的底蕴，建立了一整套融会贯通工商管理的精髓，架构</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有基础又有前沿，有跨度又有深度</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的专业人才培养课程体系。主要开设的核心课程及主讲老师如下图所示：</w:t>
      </w:r>
    </w:p>
    <w:tbl>
      <w:tblPr>
        <w:tblStyle w:val="8"/>
        <w:tblpPr w:leftFromText="180" w:rightFromText="180" w:vertAnchor="text" w:horzAnchor="page" w:tblpX="1993" w:tblpY="399"/>
        <w:tblOverlap w:val="never"/>
        <w:tblW w:w="5000" w:type="pct"/>
        <w:tblInd w:w="0" w:type="dxa"/>
        <w:tblLayout w:type="fixed"/>
        <w:tblCellMar>
          <w:top w:w="0" w:type="dxa"/>
          <w:left w:w="108" w:type="dxa"/>
          <w:bottom w:w="0" w:type="dxa"/>
          <w:right w:w="108" w:type="dxa"/>
        </w:tblCellMar>
      </w:tblPr>
      <w:tblGrid>
        <w:gridCol w:w="792"/>
        <w:gridCol w:w="3145"/>
        <w:gridCol w:w="4591"/>
      </w:tblGrid>
      <w:tr w14:paraId="6C2B9CF5">
        <w:tblPrEx>
          <w:tblCellMar>
            <w:top w:w="0" w:type="dxa"/>
            <w:left w:w="108" w:type="dxa"/>
            <w:bottom w:w="0" w:type="dxa"/>
            <w:right w:w="108" w:type="dxa"/>
          </w:tblCellMar>
        </w:tblPrEx>
        <w:trPr>
          <w:trHeight w:val="498"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9700B">
            <w:pPr>
              <w:widowControl/>
              <w:jc w:val="center"/>
              <w:textAlignment w:val="center"/>
              <w:rPr>
                <w:rFonts w:cs="宋体" w:asciiTheme="minorEastAsia" w:hAnsiTheme="minorEastAsia" w:eastAsiaTheme="minorEastAsia"/>
                <w:b/>
                <w:bCs/>
                <w:color w:val="000000" w:themeColor="text1"/>
                <w:sz w:val="22"/>
                <w:szCs w:val="22"/>
              </w:rPr>
            </w:pPr>
            <w:r>
              <w:rPr>
                <w:rFonts w:hint="eastAsia" w:cs="宋体" w:asciiTheme="minorEastAsia" w:hAnsiTheme="minorEastAsia" w:eastAsiaTheme="minorEastAsia"/>
                <w:b/>
                <w:bCs/>
                <w:color w:val="000000" w:themeColor="text1"/>
                <w:kern w:val="0"/>
                <w:sz w:val="22"/>
                <w:szCs w:val="22"/>
              </w:rPr>
              <w:t>暨南大学管理学院工商管理核心课程</w:t>
            </w:r>
          </w:p>
        </w:tc>
      </w:tr>
      <w:tr w14:paraId="38C9F3C2">
        <w:tblPrEx>
          <w:tblCellMar>
            <w:top w:w="0" w:type="dxa"/>
            <w:left w:w="108" w:type="dxa"/>
            <w:bottom w:w="0" w:type="dxa"/>
            <w:right w:w="108" w:type="dxa"/>
          </w:tblCellMar>
        </w:tblPrEx>
        <w:trPr>
          <w:trHeight w:val="624" w:hRule="atLeast"/>
        </w:trPr>
        <w:tc>
          <w:tcPr>
            <w:tcW w:w="4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9D16EE">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类别</w:t>
            </w:r>
          </w:p>
        </w:tc>
        <w:tc>
          <w:tcPr>
            <w:tcW w:w="18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B77C9">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课程组名称</w:t>
            </w:r>
          </w:p>
        </w:tc>
        <w:tc>
          <w:tcPr>
            <w:tcW w:w="26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758F5">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主要授课老师</w:t>
            </w:r>
          </w:p>
        </w:tc>
      </w:tr>
      <w:tr w14:paraId="2DC96EBE">
        <w:tblPrEx>
          <w:tblCellMar>
            <w:top w:w="0" w:type="dxa"/>
            <w:left w:w="108" w:type="dxa"/>
            <w:bottom w:w="0" w:type="dxa"/>
            <w:right w:w="108" w:type="dxa"/>
          </w:tblCellMar>
        </w:tblPrEx>
        <w:trPr>
          <w:trHeight w:val="624"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481A0">
            <w:pPr>
              <w:jc w:val="center"/>
              <w:rPr>
                <w:rFonts w:cs="宋体" w:asciiTheme="minorEastAsia" w:hAnsiTheme="minorEastAsia" w:eastAsiaTheme="minorEastAsia"/>
                <w:color w:val="000000" w:themeColor="text1"/>
                <w:sz w:val="22"/>
                <w:szCs w:val="22"/>
              </w:rPr>
            </w:pPr>
          </w:p>
        </w:tc>
        <w:tc>
          <w:tcPr>
            <w:tcW w:w="18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34453">
            <w:pPr>
              <w:jc w:val="center"/>
              <w:rPr>
                <w:rFonts w:cs="宋体" w:asciiTheme="minorEastAsia" w:hAnsiTheme="minorEastAsia" w:eastAsiaTheme="minorEastAsia"/>
                <w:color w:val="000000" w:themeColor="text1"/>
                <w:sz w:val="22"/>
                <w:szCs w:val="22"/>
              </w:rPr>
            </w:pPr>
          </w:p>
        </w:tc>
        <w:tc>
          <w:tcPr>
            <w:tcW w:w="26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7AE96">
            <w:pPr>
              <w:jc w:val="center"/>
              <w:rPr>
                <w:rFonts w:cs="宋体" w:asciiTheme="minorEastAsia" w:hAnsiTheme="minorEastAsia" w:eastAsiaTheme="minorEastAsia"/>
                <w:color w:val="000000" w:themeColor="text1"/>
                <w:sz w:val="22"/>
                <w:szCs w:val="22"/>
              </w:rPr>
            </w:pPr>
          </w:p>
        </w:tc>
      </w:tr>
      <w:tr w14:paraId="163F55AB">
        <w:tblPrEx>
          <w:tblCellMar>
            <w:top w:w="0" w:type="dxa"/>
            <w:left w:w="108" w:type="dxa"/>
            <w:bottom w:w="0" w:type="dxa"/>
            <w:right w:w="108" w:type="dxa"/>
          </w:tblCellMar>
        </w:tblPrEx>
        <w:trPr>
          <w:trHeight w:val="312" w:hRule="atLeast"/>
        </w:trPr>
        <w:tc>
          <w:tcPr>
            <w:tcW w:w="464" w:type="pct"/>
            <w:vMerge w:val="restart"/>
            <w:tcBorders>
              <w:top w:val="single" w:color="000000" w:sz="4" w:space="0"/>
              <w:left w:val="single" w:color="000000" w:sz="4" w:space="0"/>
              <w:right w:val="single" w:color="000000" w:sz="4" w:space="0"/>
            </w:tcBorders>
            <w:shd w:val="clear" w:color="auto" w:fill="auto"/>
            <w:vAlign w:val="center"/>
          </w:tcPr>
          <w:p w14:paraId="64879CEE">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核心课程</w:t>
            </w:r>
          </w:p>
        </w:tc>
        <w:tc>
          <w:tcPr>
            <w:tcW w:w="1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2092C">
            <w:pPr>
              <w:jc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新时代中国特色社会主义理论与实践</w:t>
            </w:r>
          </w:p>
        </w:tc>
        <w:tc>
          <w:tcPr>
            <w:tcW w:w="26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C4151">
            <w:pPr>
              <w:jc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王培林</w:t>
            </w:r>
          </w:p>
        </w:tc>
      </w:tr>
      <w:tr w14:paraId="3858D8B8">
        <w:tblPrEx>
          <w:tblCellMar>
            <w:top w:w="0" w:type="dxa"/>
            <w:left w:w="108" w:type="dxa"/>
            <w:bottom w:w="0" w:type="dxa"/>
            <w:right w:w="108" w:type="dxa"/>
          </w:tblCellMar>
        </w:tblPrEx>
        <w:trPr>
          <w:trHeight w:val="312" w:hRule="atLeast"/>
        </w:trPr>
        <w:tc>
          <w:tcPr>
            <w:tcW w:w="464" w:type="pct"/>
            <w:vMerge w:val="continue"/>
            <w:tcBorders>
              <w:left w:val="single" w:color="000000" w:sz="4" w:space="0"/>
              <w:right w:val="single" w:color="000000" w:sz="4" w:space="0"/>
            </w:tcBorders>
            <w:shd w:val="clear" w:color="auto" w:fill="auto"/>
            <w:vAlign w:val="center"/>
          </w:tcPr>
          <w:p w14:paraId="11209475">
            <w:pPr>
              <w:jc w:val="center"/>
              <w:rPr>
                <w:rFonts w:cs="宋体" w:asciiTheme="minorEastAsia" w:hAnsiTheme="minorEastAsia" w:eastAsiaTheme="minorEastAsia"/>
                <w:color w:val="000000" w:themeColor="text1"/>
                <w:sz w:val="22"/>
                <w:szCs w:val="22"/>
              </w:rPr>
            </w:pPr>
          </w:p>
        </w:tc>
        <w:tc>
          <w:tcPr>
            <w:tcW w:w="1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21E1D">
            <w:pPr>
              <w:jc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马克思主义与社会科学方法论</w:t>
            </w:r>
          </w:p>
        </w:tc>
        <w:tc>
          <w:tcPr>
            <w:tcW w:w="26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D9E63">
            <w:pPr>
              <w:jc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sz w:val="22"/>
                <w:szCs w:val="22"/>
              </w:rPr>
              <w:t>何涛</w:t>
            </w:r>
          </w:p>
        </w:tc>
      </w:tr>
      <w:tr w14:paraId="33E5F1A5">
        <w:tblPrEx>
          <w:tblCellMar>
            <w:top w:w="0" w:type="dxa"/>
            <w:left w:w="108" w:type="dxa"/>
            <w:bottom w:w="0" w:type="dxa"/>
            <w:right w:w="108" w:type="dxa"/>
          </w:tblCellMar>
        </w:tblPrEx>
        <w:trPr>
          <w:trHeight w:val="292" w:hRule="atLeast"/>
        </w:trPr>
        <w:tc>
          <w:tcPr>
            <w:tcW w:w="464" w:type="pct"/>
            <w:vMerge w:val="continue"/>
            <w:tcBorders>
              <w:left w:val="single" w:color="000000" w:sz="4" w:space="0"/>
              <w:right w:val="single" w:color="000000" w:sz="4" w:space="0"/>
            </w:tcBorders>
            <w:shd w:val="clear" w:color="auto" w:fill="auto"/>
            <w:noWrap/>
            <w:vAlign w:val="center"/>
          </w:tcPr>
          <w:p w14:paraId="15409819">
            <w:pPr>
              <w:widowControl/>
              <w:jc w:val="center"/>
              <w:textAlignment w:val="center"/>
              <w:rPr>
                <w:rFonts w:cs="宋体" w:asciiTheme="minorEastAsia" w:hAnsiTheme="minorEastAsia" w:eastAsiaTheme="minorEastAsia"/>
                <w:color w:val="000000" w:themeColor="text1"/>
                <w:sz w:val="22"/>
                <w:szCs w:val="22"/>
              </w:rPr>
            </w:pPr>
          </w:p>
        </w:tc>
        <w:tc>
          <w:tcPr>
            <w:tcW w:w="1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EE9B3">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战略管理</w:t>
            </w:r>
          </w:p>
        </w:tc>
        <w:tc>
          <w:tcPr>
            <w:tcW w:w="26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9DE94">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吴菁、李相银、苏晓华、邓地</w:t>
            </w:r>
          </w:p>
        </w:tc>
      </w:tr>
      <w:tr w14:paraId="1A89C16D">
        <w:tblPrEx>
          <w:tblCellMar>
            <w:top w:w="0" w:type="dxa"/>
            <w:left w:w="108" w:type="dxa"/>
            <w:bottom w:w="0" w:type="dxa"/>
            <w:right w:w="108" w:type="dxa"/>
          </w:tblCellMar>
        </w:tblPrEx>
        <w:trPr>
          <w:trHeight w:val="574" w:hRule="atLeast"/>
        </w:trPr>
        <w:tc>
          <w:tcPr>
            <w:tcW w:w="464" w:type="pct"/>
            <w:vMerge w:val="continue"/>
            <w:tcBorders>
              <w:left w:val="single" w:color="000000" w:sz="4" w:space="0"/>
              <w:right w:val="single" w:color="000000" w:sz="4" w:space="0"/>
            </w:tcBorders>
            <w:shd w:val="clear" w:color="auto" w:fill="auto"/>
            <w:noWrap/>
            <w:vAlign w:val="center"/>
          </w:tcPr>
          <w:p w14:paraId="68633CB1">
            <w:pPr>
              <w:jc w:val="center"/>
              <w:rPr>
                <w:rFonts w:cs="宋体" w:asciiTheme="minorEastAsia" w:hAnsiTheme="minorEastAsia" w:eastAsiaTheme="minorEastAsia"/>
                <w:color w:val="000000" w:themeColor="text1"/>
                <w:sz w:val="22"/>
                <w:szCs w:val="22"/>
              </w:rPr>
            </w:pPr>
          </w:p>
        </w:tc>
        <w:tc>
          <w:tcPr>
            <w:tcW w:w="1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A88B6">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组织行为学</w:t>
            </w:r>
          </w:p>
        </w:tc>
        <w:tc>
          <w:tcPr>
            <w:tcW w:w="26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1AD48">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叶茂林、王虹、陈晓曦、朱瑜、徐洁、李文丽</w:t>
            </w:r>
          </w:p>
        </w:tc>
      </w:tr>
      <w:tr w14:paraId="28E07666">
        <w:tblPrEx>
          <w:tblCellMar>
            <w:top w:w="0" w:type="dxa"/>
            <w:left w:w="108" w:type="dxa"/>
            <w:bottom w:w="0" w:type="dxa"/>
            <w:right w:w="108" w:type="dxa"/>
          </w:tblCellMar>
        </w:tblPrEx>
        <w:trPr>
          <w:trHeight w:val="292" w:hRule="atLeast"/>
        </w:trPr>
        <w:tc>
          <w:tcPr>
            <w:tcW w:w="464" w:type="pct"/>
            <w:vMerge w:val="continue"/>
            <w:tcBorders>
              <w:left w:val="single" w:color="000000" w:sz="4" w:space="0"/>
              <w:right w:val="single" w:color="000000" w:sz="4" w:space="0"/>
            </w:tcBorders>
            <w:shd w:val="clear" w:color="auto" w:fill="auto"/>
            <w:noWrap/>
            <w:vAlign w:val="center"/>
          </w:tcPr>
          <w:p w14:paraId="2D444439">
            <w:pPr>
              <w:jc w:val="center"/>
              <w:rPr>
                <w:rFonts w:cs="宋体" w:asciiTheme="minorEastAsia" w:hAnsiTheme="minorEastAsia" w:eastAsiaTheme="minorEastAsia"/>
                <w:color w:val="000000" w:themeColor="text1"/>
                <w:sz w:val="22"/>
                <w:szCs w:val="22"/>
              </w:rPr>
            </w:pPr>
          </w:p>
        </w:tc>
        <w:tc>
          <w:tcPr>
            <w:tcW w:w="1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E2CDF">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管理经济学</w:t>
            </w:r>
          </w:p>
        </w:tc>
        <w:tc>
          <w:tcPr>
            <w:tcW w:w="26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5D6B5">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黄伟力、樊刚、郭淳凡、张含宇</w:t>
            </w:r>
          </w:p>
        </w:tc>
      </w:tr>
      <w:tr w14:paraId="14E3D090">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noWrap/>
            <w:vAlign w:val="center"/>
          </w:tcPr>
          <w:p w14:paraId="7954843F">
            <w:pPr>
              <w:jc w:val="center"/>
              <w:rPr>
                <w:rFonts w:cs="宋体" w:asciiTheme="minorEastAsia" w:hAnsiTheme="minorEastAsia" w:eastAsiaTheme="minorEastAsia"/>
                <w:color w:val="000000" w:themeColor="text1"/>
                <w:sz w:val="22"/>
                <w:szCs w:val="22"/>
              </w:rPr>
            </w:pPr>
          </w:p>
        </w:tc>
        <w:tc>
          <w:tcPr>
            <w:tcW w:w="1843"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52F9EFAF">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数据模型与决策</w:t>
            </w:r>
          </w:p>
        </w:tc>
        <w:tc>
          <w:tcPr>
            <w:tcW w:w="2691" w:type="pct"/>
            <w:tcBorders>
              <w:top w:val="single" w:color="000000" w:sz="4" w:space="0"/>
              <w:left w:val="single" w:color="000000" w:sz="4" w:space="0"/>
              <w:bottom w:val="single" w:color="auto" w:sz="4" w:space="0"/>
              <w:right w:val="single" w:color="000000" w:sz="4" w:space="0"/>
            </w:tcBorders>
            <w:shd w:val="clear" w:color="auto" w:fill="auto"/>
            <w:vAlign w:val="center"/>
          </w:tcPr>
          <w:p w14:paraId="4FF2F355">
            <w:pPr>
              <w:widowControl/>
              <w:jc w:val="center"/>
              <w:textAlignment w:val="center"/>
              <w:rPr>
                <w:rFonts w:cs="宋体" w:asciiTheme="minorEastAsia" w:hAnsiTheme="minorEastAsia" w:eastAsiaTheme="minorEastAsia"/>
                <w:color w:val="000000" w:themeColor="text1"/>
                <w:sz w:val="22"/>
                <w:szCs w:val="22"/>
              </w:rPr>
            </w:pPr>
            <w:r>
              <w:rPr>
                <w:rFonts w:hint="eastAsia" w:cs="宋体" w:asciiTheme="minorEastAsia" w:hAnsiTheme="minorEastAsia" w:eastAsiaTheme="minorEastAsia"/>
                <w:color w:val="000000" w:themeColor="text1"/>
                <w:kern w:val="0"/>
                <w:sz w:val="22"/>
                <w:szCs w:val="22"/>
              </w:rPr>
              <w:t>徐咏梅、郝英奇、刘潇、山峻、郑江波</w:t>
            </w:r>
          </w:p>
        </w:tc>
      </w:tr>
      <w:tr w14:paraId="55FD44C0">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noWrap/>
            <w:vAlign w:val="center"/>
          </w:tcPr>
          <w:p w14:paraId="35A5513D">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noWrap/>
          </w:tcPr>
          <w:p w14:paraId="29A96914">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财务会计/财务报表</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597EF0EA">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谭有超、谭小平、夏芸、韩晴、肖继辉、窦欢</w:t>
            </w:r>
          </w:p>
        </w:tc>
      </w:tr>
      <w:tr w14:paraId="14CF0068">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noWrap/>
            <w:vAlign w:val="center"/>
          </w:tcPr>
          <w:p w14:paraId="164FEFC2">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noWrap/>
          </w:tcPr>
          <w:p w14:paraId="39C1937C">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市场营销</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19B2EF8D">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杨德锋、廖俊云、梁新弘、温碧燕、王文峰、Masoud、梁彦明、周宏</w:t>
            </w:r>
          </w:p>
        </w:tc>
      </w:tr>
      <w:tr w14:paraId="2B122378">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noWrap/>
            <w:vAlign w:val="center"/>
          </w:tcPr>
          <w:p w14:paraId="4C8A7629">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noWrap/>
          </w:tcPr>
          <w:p w14:paraId="39C30E7D">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财务管理</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62EF6B05">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朱滔、谭跃、樊莹、沈洪涛、陶晓慧、易兰、徐焱军</w:t>
            </w:r>
          </w:p>
        </w:tc>
      </w:tr>
      <w:tr w14:paraId="4CC28822">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tcPr>
          <w:p w14:paraId="4675E085">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tcPr>
          <w:p w14:paraId="0ECD1D77">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运营管理</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600C5EC0">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王国庆、欧锦文、魏莹、王惠芬、左小德</w:t>
            </w:r>
          </w:p>
        </w:tc>
      </w:tr>
      <w:tr w14:paraId="20F3BA88">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tcPr>
          <w:p w14:paraId="0D4C63B8">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tcPr>
          <w:p w14:paraId="6DFB6C93">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人力资源管理</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20916DE5">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李方君、梁永奕、刘静岩、马绍壮</w:t>
            </w:r>
          </w:p>
        </w:tc>
      </w:tr>
      <w:tr w14:paraId="59CD0F03">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tcPr>
          <w:p w14:paraId="697DEB34">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tcPr>
          <w:p w14:paraId="3DD43AA9">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管理沟通</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5CD6E21F">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佟瑞、李舟、贾佳、齐珺</w:t>
            </w:r>
          </w:p>
        </w:tc>
      </w:tr>
      <w:tr w14:paraId="4135F08F">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tcPr>
          <w:p w14:paraId="0B76377D">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tcPr>
          <w:p w14:paraId="510E8CD8">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中国的法律与制度环境/中国商业环境</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4808A29C">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赵克祥、宋耀红、张白沙</w:t>
            </w:r>
          </w:p>
        </w:tc>
      </w:tr>
      <w:tr w14:paraId="23213E15">
        <w:tblPrEx>
          <w:tblCellMar>
            <w:top w:w="0" w:type="dxa"/>
            <w:left w:w="108" w:type="dxa"/>
            <w:bottom w:w="0" w:type="dxa"/>
            <w:right w:w="108" w:type="dxa"/>
          </w:tblCellMar>
        </w:tblPrEx>
        <w:trPr>
          <w:trHeight w:val="301" w:hRule="atLeast"/>
        </w:trPr>
        <w:tc>
          <w:tcPr>
            <w:tcW w:w="464" w:type="pct"/>
            <w:vMerge w:val="continue"/>
            <w:tcBorders>
              <w:left w:val="single" w:color="000000" w:sz="4" w:space="0"/>
              <w:right w:val="single" w:color="000000" w:sz="4" w:space="0"/>
            </w:tcBorders>
            <w:shd w:val="clear" w:color="auto" w:fill="auto"/>
          </w:tcPr>
          <w:p w14:paraId="3872F4B9">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tcPr>
          <w:p w14:paraId="088683D4">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社会责任与商业伦理</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4530DA2E">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李进一、彭海珍、王瑞、姜丽群</w:t>
            </w:r>
          </w:p>
        </w:tc>
      </w:tr>
      <w:tr w14:paraId="51208288">
        <w:tblPrEx>
          <w:tblCellMar>
            <w:top w:w="0" w:type="dxa"/>
            <w:left w:w="108" w:type="dxa"/>
            <w:bottom w:w="0" w:type="dxa"/>
            <w:right w:w="108" w:type="dxa"/>
          </w:tblCellMar>
        </w:tblPrEx>
        <w:trPr>
          <w:trHeight w:val="301" w:hRule="atLeast"/>
        </w:trPr>
        <w:tc>
          <w:tcPr>
            <w:tcW w:w="464" w:type="pct"/>
            <w:vMerge w:val="continue"/>
            <w:tcBorders>
              <w:left w:val="single" w:color="000000" w:sz="4" w:space="0"/>
              <w:bottom w:val="single" w:color="auto" w:sz="4" w:space="0"/>
              <w:right w:val="single" w:color="000000" w:sz="4" w:space="0"/>
            </w:tcBorders>
            <w:shd w:val="clear" w:color="auto" w:fill="auto"/>
          </w:tcPr>
          <w:p w14:paraId="03D814E4">
            <w:pPr>
              <w:jc w:val="center"/>
              <w:rPr>
                <w:rFonts w:cs="宋体" w:asciiTheme="minorEastAsia" w:hAnsiTheme="minorEastAsia" w:eastAsiaTheme="minorEastAsia"/>
                <w:color w:val="000000" w:themeColor="text1"/>
                <w:sz w:val="22"/>
                <w:szCs w:val="22"/>
              </w:rPr>
            </w:pPr>
          </w:p>
        </w:tc>
        <w:tc>
          <w:tcPr>
            <w:tcW w:w="1843" w:type="pct"/>
            <w:tcBorders>
              <w:top w:val="single" w:color="auto" w:sz="4" w:space="0"/>
              <w:left w:val="single" w:color="auto" w:sz="4" w:space="0"/>
              <w:bottom w:val="single" w:color="auto" w:sz="4" w:space="0"/>
              <w:right w:val="single" w:color="auto" w:sz="4" w:space="0"/>
            </w:tcBorders>
            <w:shd w:val="clear" w:color="auto" w:fill="auto"/>
          </w:tcPr>
          <w:p w14:paraId="5A416ABF">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管理研究方法与学术写作</w:t>
            </w:r>
          </w:p>
        </w:tc>
        <w:tc>
          <w:tcPr>
            <w:tcW w:w="2691" w:type="pct"/>
            <w:tcBorders>
              <w:top w:val="single" w:color="auto" w:sz="4" w:space="0"/>
              <w:left w:val="single" w:color="auto" w:sz="4" w:space="0"/>
              <w:bottom w:val="single" w:color="auto" w:sz="4" w:space="0"/>
              <w:right w:val="single" w:color="auto" w:sz="4" w:space="0"/>
            </w:tcBorders>
            <w:shd w:val="clear" w:color="auto" w:fill="auto"/>
          </w:tcPr>
          <w:p w14:paraId="02007268">
            <w:pPr>
              <w:jc w:val="center"/>
              <w:rPr>
                <w:rFonts w:asciiTheme="minorEastAsia" w:hAnsiTheme="minorEastAsia" w:eastAsiaTheme="minorEastAsia"/>
                <w:color w:val="000000" w:themeColor="text1"/>
                <w:sz w:val="22"/>
                <w:szCs w:val="22"/>
              </w:rPr>
            </w:pPr>
            <w:r>
              <w:rPr>
                <w:rFonts w:hint="eastAsia" w:asciiTheme="minorEastAsia" w:hAnsiTheme="minorEastAsia" w:eastAsiaTheme="minorEastAsia"/>
                <w:color w:val="000000" w:themeColor="text1"/>
                <w:sz w:val="22"/>
                <w:szCs w:val="22"/>
              </w:rPr>
              <w:t>王玮、严鸣、王华、苏芳</w:t>
            </w:r>
          </w:p>
        </w:tc>
      </w:tr>
    </w:tbl>
    <w:p w14:paraId="22ED601A">
      <w:pPr>
        <w:autoSpaceDE w:val="0"/>
        <w:autoSpaceDN w:val="0"/>
        <w:adjustRightInd w:val="0"/>
        <w:spacing w:line="360" w:lineRule="auto"/>
        <w:rPr>
          <w:rFonts w:cs="宋体" w:asciiTheme="minorEastAsia" w:hAnsiTheme="minorEastAsia" w:eastAsiaTheme="minorEastAsia"/>
          <w:color w:val="000000" w:themeColor="text1"/>
          <w:kern w:val="0"/>
          <w:sz w:val="28"/>
          <w:szCs w:val="28"/>
          <w:lang w:val="zh-CN"/>
        </w:rPr>
      </w:pPr>
    </w:p>
    <w:p w14:paraId="1978A3B2">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本学位点开设的核心课程有着完善的课程教学质量保证体系，从培养方案更新、教师遴选、教学评估、教师培养、教师考核淘汰等五个方面建构相应机制，持续改进课程教学质量。</w:t>
      </w:r>
    </w:p>
    <w:p w14:paraId="6967B073">
      <w:pPr>
        <w:autoSpaceDE w:val="0"/>
        <w:autoSpaceDN w:val="0"/>
        <w:adjustRightInd w:val="0"/>
        <w:spacing w:line="360" w:lineRule="auto"/>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pict>
          <v:group id="_x0000_s2071" o:spid="_x0000_s2071" o:spt="203" style="height:213pt;width:446.2pt;" coordorigin="2492,4402" coordsize="7730,3690" editas="canvas">
            <o:lock v:ext="edit"/>
            <v:shape id="_x0000_s2070" o:spid="_x0000_s2070" o:spt="75" type="#_x0000_t75" style="position:absolute;left:2492;top:4402;height:3690;width:7730;" filled="f" o:preferrelative="f" stroked="f" coordsize="21600,21600">
              <v:path/>
              <v:fill on="f" focussize="0,0"/>
              <v:stroke on="f" joinstyle="miter"/>
              <v:imagedata o:title=""/>
              <o:lock v:ext="edit" text="t" aspectratio="t"/>
            </v:shape>
            <v:group id="_x0000_s2135" o:spid="_x0000_s2135" o:spt="203" style="position:absolute;left:2649;top:4402;height:3690;width:7416;" coordorigin="685,2070" coordsize="54369,27057">
              <o:lock v:ext="edit"/>
              <v:rect id="矩形 27" o:spid="_x0000_s2136" o:spt="1" style="position:absolute;left:685;top:9067;height:2724;width:17158;"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path/>
                <v:fill focussize="0,0"/>
                <v:stroke/>
                <v:imagedata o:title=""/>
                <o:lock v:ext="edit"/>
                <v:textbox>
                  <w:txbxContent>
                    <w:p w14:paraId="27B5B1A7">
                      <w:r>
                        <w:rPr>
                          <w:rFonts w:hint="eastAsia"/>
                        </w:rPr>
                        <w:t>学院MBA教育指导委员会</w:t>
                      </w:r>
                    </w:p>
                  </w:txbxContent>
                </v:textbox>
              </v:rect>
              <v:rect id="矩形 29" o:spid="_x0000_s2137" o:spt="1" style="position:absolute;left:37020;top:9067;height:2724;width:1803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path/>
                <v:fill focussize="0,0"/>
                <v:stroke/>
                <v:imagedata o:title=""/>
                <o:lock v:ext="edit"/>
                <v:textbox>
                  <w:txbxContent>
                    <w:p w14:paraId="65151CFA">
                      <w:r>
                        <w:rPr>
                          <w:rFonts w:hint="eastAsia"/>
                        </w:rPr>
                        <w:t>学院研究生教学质量督查组</w:t>
                      </w:r>
                    </w:p>
                  </w:txbxContent>
                </v:textbox>
              </v:rect>
              <v:group id="_x0000_s2138" o:spid="_x0000_s2138" o:spt="203" style="position:absolute;left:1206;top:2070;height:27057;width:51689;" coordorigin="1206,2070" coordsize="51689,27057">
                <o:lock v:ext="edit"/>
                <v:roundrect id="圆角矩形 25" o:spid="_x0000_s2139" o:spt="2" style="position:absolute;left:18351;top:2070;height:3117;width:17894;" fillcolor="#F79646" filled="t" strok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WQHcQA&#10;AADbAAAADwAAAGRycy9kb3ducmV2LnhtbESPQWvCQBSE74L/YXlCb7ppKVZSV2mDQm/aKOrxkX3N&#10;hmTfhuyqsb/eLRQ8DjPzDTNf9rYRF+p85VjB8yQBQVw4XXGpYL9bj2cgfEDW2DgmBTfysFwMB3NM&#10;tbvyN13yUIoIYZ+iAhNCm0rpC0MW/cS1xNH7cZ3FEGVXSt3hNcJtI1+SZCotVhwXDLaUGSrq/GwV&#10;bD43h9OqXmWlOc5+t3mdNW/6ptTTqP94BxGoD4/wf/tLK5i+wt+X+AP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VkB3EAAAA2wAAAA8AAAAAAAAAAAAAAAAAmAIAAGRycy9k&#10;b3ducmV2LnhtbFBLBQYAAAAABAAEAPUAAACJAwAAAAA=&#10;">
                  <v:path/>
                  <v:fill on="t" focussize="0,0"/>
                  <v:stroke on="f" weight="3pt"/>
                  <v:imagedata o:title=""/>
                  <o:lock v:ext="edit"/>
                  <v:shadow on="t" color="#974706" opacity="32768f" offset="1pt,2pt"/>
                  <v:textbox>
                    <w:txbxContent>
                      <w:p w14:paraId="1C588865">
                        <w:pPr>
                          <w:jc w:val="center"/>
                          <w:rPr>
                            <w:color w:val="FFFFFF" w:themeColor="background1"/>
                          </w:rPr>
                        </w:pPr>
                        <w:r>
                          <w:rPr>
                            <w:rFonts w:hint="eastAsia"/>
                            <w:color w:val="FFFFFF" w:themeColor="background1"/>
                          </w:rPr>
                          <w:t>教学质量保证体系</w:t>
                        </w:r>
                      </w:p>
                    </w:txbxContent>
                  </v:textbox>
                </v:roundrect>
                <v:shape id="椭圆 26" o:spid="_x0000_s2140" o:spt="3" type="#_x0000_t3" style="position:absolute;left:17843;top:17506;height:8128;width:20072;" fillcolor="#4F81BD"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VmL0A&#10;AADbAAAADwAAAGRycy9kb3ducmV2LnhtbERPy6rCMBDdX/AfwgjurqmCotUoRRBEcWEVxN3QjG2x&#10;mZQmav17Iwguz5szX7amEg9qXGlZwaAfgSDOrC45V3A6rv8nIJxH1lhZJgUvcrBcdP7mGGv75AM9&#10;Up+LUMIuRgWF93UspcsKMuj6tiYO2tU2Bn2ATS51g89Qbio5jKKxNFhyWCiwplVB2S29GwXJNPDH&#10;aDQ879IJ6+1lv09ar1Sv2yYzEJ5a/zN/0xutYDyCz5fwA+Ti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wNVmL0AAADbAAAADwAAAAAAAAAAAAAAAACYAgAAZHJzL2Rvd25yZXYu&#10;eG1sUEsFBgAAAAAEAAQA9QAAAIIDAAAAAA==&#10;">
                  <v:path/>
                  <v:fill on="t" focussize="0,0"/>
                  <v:stroke on="f" weight="3pt"/>
                  <v:imagedata o:title=""/>
                  <o:lock v:ext="edit"/>
                  <v:shadow on="t" color="#243F60" opacity="32768f" offset="1pt,2pt"/>
                  <v:textbox>
                    <w:txbxContent>
                      <w:p w14:paraId="6DC28817"/>
                      <w:p w14:paraId="5D1F6397">
                        <w:pPr>
                          <w:jc w:val="center"/>
                          <w:rPr>
                            <w:color w:val="FFFFFF" w:themeColor="background1"/>
                          </w:rPr>
                        </w:pPr>
                        <w:r>
                          <w:rPr>
                            <w:rFonts w:hint="eastAsia"/>
                            <w:color w:val="FFFFFF" w:themeColor="background1"/>
                          </w:rPr>
                          <w:t>教学质量监控</w:t>
                        </w:r>
                      </w:p>
                    </w:txbxContent>
                  </v:textbox>
                </v:shape>
                <v:rect id="矩形 28" o:spid="_x0000_s2141" o:spt="1" style="position:absolute;left:19932;top:9067;height:2724;width:1478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path/>
                  <v:fill focussize="0,0"/>
                  <v:stroke/>
                  <v:imagedata o:title=""/>
                  <o:lock v:ext="edit"/>
                  <v:textbox>
                    <w:txbxContent>
                      <w:p w14:paraId="7164D6CF">
                        <w:r>
                          <w:rPr>
                            <w:rFonts w:hint="eastAsia"/>
                          </w:rPr>
                          <w:t>MBA/EMBA教育中心</w:t>
                        </w:r>
                      </w:p>
                    </w:txbxContent>
                  </v:textbox>
                </v:rect>
                <v:shape id="肘形连接符 30" o:spid="_x0000_s2142" o:spt="34" type="#_x0000_t34" style="position:absolute;left:27647;top:-9316;flip:y;height:36773;width:7;rotation:-5898240f;" o:connectortype="elbow"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Kco8MAAADbAAAADwAAAGRycy9kb3ducmV2LnhtbESPQWvCQBSE7wX/w/IEb3WjB0lTVxEx&#10;0J6kVg+9PbPPJJp9G3Y3Mf57t1DocZiZb5jlejCN6Mn52rKC2TQBQVxYXXOp4Pidv6YgfEDW2Fgm&#10;BQ/ysF6NXpaYaXvnL+oPoRQRwj5DBVUIbSalLyoy6Ke2JY7exTqDIUpXSu3wHuGmkfMkWUiDNceF&#10;ClvaVlTcDp2JlLRzR9/nxU/aXc+nE90+8/1Oqcl42LyDCDSE//Bf+0MrWLzB75f4A+Tq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CnKPDAAAA2wAAAA8AAAAAAAAAAAAA&#10;AAAAoQIAAGRycy9kb3ducmV2LnhtbFBLBQYAAAAABAAEAPkAAACRAwAAAAA=&#10;" adj="-7776000">
                  <v:path arrowok="t"/>
                  <v:fill on="f" focussize="0,0"/>
                  <v:stroke joinstyle="miter"/>
                  <v:imagedata o:title=""/>
                  <o:lock v:ext="edit"/>
                </v:shape>
                <v:shape id="直接箭头连接符 31" o:spid="_x0000_s2143" o:spt="32" type="#_x0000_t32" style="position:absolute;left:27298;top:5187;height:3880;width:32;"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path arrowok="t"/>
                  <v:fill on="f" focussize="0,0"/>
                  <v:stroke/>
                  <v:imagedata o:title=""/>
                  <o:lock v:ext="edit"/>
                </v:shape>
                <v:shape id="上下箭头 32" o:spid="_x0000_s2144" o:spt="70" type="#_x0000_t70" style="position:absolute;left:25584;top:12871;height:3619;width:407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CMzcYA&#10;AADbAAAADwAAAGRycy9kb3ducmV2LnhtbESPX2sCMRDE3wt+h7BC32ruClV7NYoVBKm21D/U1+Wy&#10;3l172RyXqPHbN4Lg4zA7v9kZTYKpxYlaV1lWkPYSEMS51RUXCnbb+dMQhPPIGmvLpOBCDibjzsMI&#10;M23PvKbTxhciQthlqKD0vsmkdHlJBl3PNsTRO9jWoI+yLaRu8RzhppbPSdKXBiuODSU2NCsp/9sc&#10;TXxjqV+nq3T55b7Dz/ql+A0fn/t3pR67YfoGwlPw9+NbeqEVDFK4bokAkO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vCMzcYAAADbAAAADwAAAAAAAAAAAAAAAACYAgAAZHJz&#10;L2Rvd25yZXYueG1sUEsFBgAAAAAEAAQA9QAAAIsDAAAAAA==&#10;">
                  <v:path/>
                  <v:fill focussize="0,0"/>
                  <v:stroke joinstyle="miter"/>
                  <v:imagedata o:title=""/>
                  <o:lock v:ext="edit"/>
                  <v:textbox style="layout-flow:vertical-ideographic;"/>
                </v:shape>
                <v:rect id="矩形 33" o:spid="_x0000_s2145" o:spt="1" style="position:absolute;left:1206;top:14522;height:2857;width:1035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path/>
                  <v:fill focussize="0,0"/>
                  <v:stroke/>
                  <v:imagedata o:title=""/>
                  <o:lock v:ext="edit"/>
                  <v:textbox>
                    <w:txbxContent>
                      <w:p w14:paraId="333B44E7">
                        <w:pPr>
                          <w:jc w:val="center"/>
                        </w:pPr>
                        <w:r>
                          <w:rPr>
                            <w:rFonts w:hint="eastAsia"/>
                          </w:rPr>
                          <w:t>教师队伍</w:t>
                        </w:r>
                      </w:p>
                    </w:txbxContent>
                  </v:textbox>
                </v:rect>
                <v:rect id="矩形 34" o:spid="_x0000_s2146" o:spt="1" style="position:absolute;left:1206;top:20237;height:2857;width:1035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path/>
                  <v:fill focussize="0,0"/>
                  <v:stroke/>
                  <v:imagedata o:title=""/>
                  <o:lock v:ext="edit"/>
                  <v:textbox>
                    <w:txbxContent>
                      <w:p w14:paraId="3ED8E9BF">
                        <w:pPr>
                          <w:jc w:val="center"/>
                        </w:pPr>
                        <w:r>
                          <w:rPr>
                            <w:rFonts w:hint="eastAsia"/>
                          </w:rPr>
                          <w:t>课程管理</w:t>
                        </w:r>
                      </w:p>
                    </w:txbxContent>
                  </v:textbox>
                </v:rect>
                <v:rect id="矩形 35" o:spid="_x0000_s2147" o:spt="1" style="position:absolute;left:1206;top:26269;height:2858;width:1035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path/>
                  <v:fill focussize="0,0"/>
                  <v:stroke/>
                  <v:imagedata o:title=""/>
                  <o:lock v:ext="edit"/>
                  <v:textbox>
                    <w:txbxContent>
                      <w:p w14:paraId="746F0459">
                        <w:pPr>
                          <w:jc w:val="center"/>
                        </w:pPr>
                        <w:r>
                          <w:rPr>
                            <w:rFonts w:hint="eastAsia"/>
                          </w:rPr>
                          <w:t>学风建设</w:t>
                        </w:r>
                      </w:p>
                    </w:txbxContent>
                  </v:textbox>
                </v:rect>
                <v:rect id="矩形 36" o:spid="_x0000_s2148" o:spt="1" style="position:absolute;left:42291;top:14458;height:2858;width:1060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path/>
                  <v:fill focussize="0,0"/>
                  <v:stroke/>
                  <v:imagedata o:title=""/>
                  <o:lock v:ext="edit"/>
                  <v:textbox>
                    <w:txbxContent>
                      <w:p w14:paraId="04A3C5CD">
                        <w:pPr>
                          <w:jc w:val="center"/>
                        </w:pPr>
                        <w:r>
                          <w:rPr>
                            <w:rFonts w:hint="eastAsia"/>
                          </w:rPr>
                          <w:t>教学质量评估</w:t>
                        </w:r>
                      </w:p>
                    </w:txbxContent>
                  </v:textbox>
                </v:rect>
                <v:rect id="矩形 37" o:spid="_x0000_s2149" o:spt="1" style="position:absolute;left:42291;top:20173;height:2858;width:1060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path/>
                  <v:fill focussize="0,0"/>
                  <v:stroke/>
                  <v:imagedata o:title=""/>
                  <o:lock v:ext="edit"/>
                  <v:textbox>
                    <w:txbxContent>
                      <w:p w14:paraId="71C4C08A">
                        <w:pPr>
                          <w:jc w:val="center"/>
                        </w:pPr>
                        <w:r>
                          <w:rPr>
                            <w:rFonts w:hint="eastAsia"/>
                          </w:rPr>
                          <w:t>班主任跟课</w:t>
                        </w:r>
                      </w:p>
                    </w:txbxContent>
                  </v:textbox>
                </v:rect>
                <v:rect id="矩形 38" o:spid="_x0000_s2150" o:spt="1" style="position:absolute;left:42672;top:26206;height:2857;width:1022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path/>
                  <v:fill focussize="0,0"/>
                  <v:stroke/>
                  <v:imagedata o:title=""/>
                  <o:lock v:ext="edit"/>
                  <v:textbox>
                    <w:txbxContent>
                      <w:p w14:paraId="42C52733">
                        <w:pPr>
                          <w:jc w:val="center"/>
                        </w:pPr>
                        <w:r>
                          <w:rPr>
                            <w:rFonts w:hint="eastAsia"/>
                          </w:rPr>
                          <w:t>学生座谈会</w:t>
                        </w:r>
                      </w:p>
                    </w:txbxContent>
                  </v:textbox>
                </v:rect>
                <v:shape id="肘形连接符 39" o:spid="_x0000_s2151" o:spt="33" type="#_x0000_t33" style="position:absolute;left:11557;top:15951;height:11747;width:3810;" o:connectortype="elbow"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dlDsEAAADbAAAADwAAAGRycy9kb3ducmV2LnhtbERPy4rCMBTdC/MP4Q6403RcqFSjyMAM&#10;LhR8Ic7uTnNtis1NadJa/94sBJeH854vO1uKlmpfOFbwNUxAEGdOF5wrOB1/BlMQPiBrLB2Tggd5&#10;WC4+enNMtbvzntpDyEUMYZ+iAhNClUrpM0MW/dBVxJG7utpiiLDOpa7xHsNtKUdJMpYWC44NBiv6&#10;NpTdDo1VkF3OjdscR60rTn/N9noxu//fvVL9z241AxGoC2/xy73WCiZxbPwSf4B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d2UOwQAAANsAAAAPAAAAAAAAAAAAAAAA&#10;AKECAABkcnMvZG93bnJldi54bWxQSwUGAAAAAAQABAD5AAAAjwMAAAAA&#10;">
                  <v:path arrowok="t"/>
                  <v:fill on="f" focussize="0,0"/>
                  <v:stroke joinstyle="miter"/>
                  <v:imagedata o:title=""/>
                  <o:lock v:ext="edit"/>
                </v:shape>
                <v:shape id="直接箭头连接符 40" o:spid="_x0000_s2152" o:spt="32" type="#_x0000_t32" style="position:absolute;left:11557;top:27698;height:7;width:381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path arrowok="t"/>
                  <v:fill on="f" focussize="0,0"/>
                  <v:stroke/>
                  <v:imagedata o:title=""/>
                  <o:lock v:ext="edit"/>
                </v:shape>
                <v:shape id="肘形连接符 41" o:spid="_x0000_s2153" o:spt="34" type="#_x0000_t34" style="position:absolute;left:42291;top:15887;flip:x y;height:11748;width:381;rotation:11796480f;" o:connectortype="elbow"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A3FsEAAADbAAAADwAAAGRycy9kb3ducmV2LnhtbERPy2rCQBTdF/yH4Qru6kQJRaITEUER&#10;F4XGQreXzM1DM3fGzGjSfn1nUejycN6b7Wg68aTet5YVLOYJCOLS6pZrBZ+Xw+sKhA/IGjvLpOCb&#10;PGzzycsGM20H/qBnEWoRQ9hnqKAJwWVS+rIhg35uHXHkKtsbDBH2tdQ9DjHcdHKZJG/SYMuxoUFH&#10;+4bKW/EwCo5f7qHv7z+huKTXRXUz1i3PqVKz6bhbgwg0hn/xn/ukFazi+vgl/gCZ/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sDcWwQAAANsAAAAPAAAAAAAAAAAAAAAA&#10;AKECAABkcnMvZG93bnJldi54bWxQSwUGAAAAAAQABAD5AAAAjwMAAAAA&#10;" adj="-129600">
                  <v:path arrowok="t"/>
                  <v:fill on="f" focussize="0,0"/>
                  <v:stroke joinstyle="miter"/>
                  <v:imagedata o:title=""/>
                  <o:lock v:ext="edit"/>
                </v:shape>
                <v:shape id="直接箭头连接符 42" o:spid="_x0000_s2154" o:spt="32" type="#_x0000_t32" style="position:absolute;left:11557;top:21570;flip:y;height:96;width:6286;"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wgR8EAAADbAAAADwAAAGRycy9kb3ducmV2LnhtbESPQYvCMBSE7wv+h/AEb2uq4CLVKCoI&#10;shdZFfT4aJ5tsHkpTbap/94sLHgcZuYbZrnubS06ar1xrGAyzkAQF04bLhVczvvPOQgfkDXWjknB&#10;kzysV4OPJebaRf6h7hRKkSDsc1RQhdDkUvqiIot+7Bri5N1dazEk2ZZStxgT3NZymmVf0qLhtFBh&#10;Q7uKisfp1yow8Wi65rCL2+/rzetI5jlzRqnRsN8sQATqwzv83z5oBfMJ/H1JP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PCBHwQAAANsAAAAPAAAAAAAAAAAAAAAA&#10;AKECAABkcnMvZG93bnJldi54bWxQSwUGAAAAAAQABAD5AAAAjwMAAAAA&#10;">
                  <v:path arrowok="t"/>
                  <v:fill on="f" focussize="0,0"/>
                  <v:stroke endarrow="block"/>
                  <v:imagedata o:title=""/>
                  <o:lock v:ext="edit"/>
                </v:shape>
                <v:shape id="直接箭头连接符 43" o:spid="_x0000_s2155" o:spt="32" type="#_x0000_t32" style="position:absolute;left:37915;top:21570;flip:x y;height:32;width:4376;"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2t+sMAAADbAAAADwAAAGRycy9kb3ducmV2LnhtbESPT2vCQBTE74LfYXlCb7oxBLHRVYpF&#10;kNKLfw49PrLPTWj2bci+avrtuwXB4zAzv2HW28G36kZ9bAIbmM8yUMRVsA07A5fzfroEFQXZYhuY&#10;DPxShO1mPFpjacOdj3Q7iVMJwrFEA7VIV2odq5o8xlnoiJN3Db1HSbJ32vZ4T3Df6jzLFtpjw2mh&#10;xo52NVXfpx9v4OviP1/z4t27wp3lKPTR5MXCmJfJ8LYCJTTIM/xoH6yBZQ7/X9IP0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drfrDAAAA2wAAAA8AAAAAAAAAAAAA&#10;AAAAoQIAAGRycy9kb3ducmV2LnhtbFBLBQYAAAAABAAEAPkAAACRAwAAAAA=&#10;">
                  <v:path arrowok="t"/>
                  <v:fill on="f" focussize="0,0"/>
                  <v:stroke endarrow="block"/>
                  <v:imagedata o:title=""/>
                  <o:lock v:ext="edit"/>
                </v:shape>
              </v:group>
            </v:group>
            <w10:wrap type="none"/>
            <w10:anchorlock/>
          </v:group>
        </w:pict>
      </w:r>
    </w:p>
    <w:p w14:paraId="0A43FB89">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p>
    <w:p w14:paraId="4FEEFCF5">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1</w:t>
      </w:r>
      <w:r>
        <w:rPr>
          <w:rFonts w:hint="eastAsia" w:cs="宋体" w:asciiTheme="minorEastAsia" w:hAnsiTheme="minorEastAsia" w:eastAsiaTheme="minorEastAsia"/>
          <w:color w:val="000000" w:themeColor="text1"/>
          <w:sz w:val="28"/>
          <w:szCs w:val="28"/>
        </w:rPr>
        <w:t>）教师队伍建设</w:t>
      </w:r>
    </w:p>
    <w:p w14:paraId="129EC247">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学位点执行严格的师资遴选制度，要求为学生讲授专业课的教师必须具有博士学位或副教授以上职称，并且具有管理实践或管理咨询的经历。建立教师“试讲”制度，通过安排讲座并对参与的学生进行无记名调查，才能获得课程任课资格。</w:t>
      </w:r>
      <w:r>
        <w:rPr>
          <w:rFonts w:cs="宋体" w:asciiTheme="minorEastAsia" w:hAnsiTheme="minorEastAsia" w:eastAsiaTheme="minorEastAsia"/>
          <w:color w:val="000000" w:themeColor="text1"/>
          <w:sz w:val="28"/>
          <w:szCs w:val="28"/>
        </w:rPr>
        <w:t xml:space="preserve">MBA/EMBA </w:t>
      </w:r>
      <w:r>
        <w:rPr>
          <w:rFonts w:hint="eastAsia" w:cs="宋体" w:asciiTheme="minorEastAsia" w:hAnsiTheme="minorEastAsia" w:eastAsiaTheme="minorEastAsia"/>
          <w:color w:val="000000" w:themeColor="text1"/>
          <w:sz w:val="28"/>
          <w:szCs w:val="28"/>
        </w:rPr>
        <w:t>教育中心积极支持鼓励任课教师参加国内、国外课程研讨会，促进教师间的交流，提高教学水平。与此同时，本学位点通过教师课程组建设的模式，不断实现课程模块化持续创新与教师队伍建设紧密结合，实现了教学的持续优化。通过多年的师资队伍建设，学校形成了一支高素质的教师队伍。</w:t>
      </w:r>
    </w:p>
    <w:p w14:paraId="20F51824">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2</w:t>
      </w:r>
      <w:r>
        <w:rPr>
          <w:rFonts w:hint="eastAsia" w:cs="宋体" w:asciiTheme="minorEastAsia" w:hAnsiTheme="minorEastAsia" w:eastAsiaTheme="minorEastAsia"/>
          <w:color w:val="000000" w:themeColor="text1"/>
          <w:sz w:val="28"/>
          <w:szCs w:val="28"/>
        </w:rPr>
        <w:t>）课程管理体系</w:t>
      </w:r>
    </w:p>
    <w:p w14:paraId="415A696A">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 xml:space="preserve">MBA/EMBA </w:t>
      </w:r>
      <w:r>
        <w:rPr>
          <w:rFonts w:hint="eastAsia" w:cs="宋体" w:asciiTheme="minorEastAsia" w:hAnsiTheme="minorEastAsia" w:eastAsiaTheme="minorEastAsia"/>
          <w:color w:val="000000" w:themeColor="text1"/>
          <w:sz w:val="28"/>
          <w:szCs w:val="28"/>
        </w:rPr>
        <w:t>教育中心制订了完善的课程管理制度，明确规定任课教师的责任，要求每位老师在开课前两周将个人简历、教学大纲和讲义发送至教务秘书。任课教师应按教学计划完成教学任务，若中途改变教学计划，应提前两周填写《暨南大学任课教师调课、停课申请表》向中心申请，并报分管院领导审批。课程考试须提前两周按学校教务处规定的统一格式编写试卷，并交给教务秘书进行印制。课程成绩须在课程结束后两周内录入教务系统。通过一系列的措施，保证了教学质量。</w:t>
      </w:r>
    </w:p>
    <w:p w14:paraId="175D3C79">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3</w:t>
      </w:r>
      <w:r>
        <w:rPr>
          <w:rFonts w:hint="eastAsia" w:cs="宋体" w:asciiTheme="minorEastAsia" w:hAnsiTheme="minorEastAsia" w:eastAsiaTheme="minorEastAsia"/>
          <w:color w:val="000000" w:themeColor="text1"/>
          <w:sz w:val="28"/>
          <w:szCs w:val="28"/>
        </w:rPr>
        <w:t>）课程研发体系</w:t>
      </w:r>
    </w:p>
    <w:p w14:paraId="460C50B7">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工商管理教育指导委员会按照本学科研究生教育发展趋势，不断与时俱进的调整和创新人才培养体系。如包括“第四次科技革命”、粤港澳大湾区发展战略、“一带一路”倡议、创新创业教育理念等新政策，结合专业学位强调以职业为导向，突出行业实践能力的培养，强调实践环节的培养目标，制定了适合</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专业学位的研究生培养方案。</w:t>
      </w:r>
    </w:p>
    <w:p w14:paraId="55C401DD">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与此同时，</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已设置教师课程组建设，由权威的教师任组长，负责课程建设工作。每个课程小组在拟订教学大纲、编写案例、建设试题库、开发多媒体课件、教材建设等方面紧密合作，创新教学模式，革新教学内容，共同提高了教学质量。</w:t>
      </w:r>
    </w:p>
    <w:p w14:paraId="7FB6630D">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4</w:t>
      </w:r>
      <w:r>
        <w:rPr>
          <w:rFonts w:hint="eastAsia" w:cs="宋体" w:asciiTheme="minorEastAsia" w:hAnsiTheme="minorEastAsia" w:eastAsiaTheme="minorEastAsia"/>
          <w:color w:val="000000" w:themeColor="text1"/>
          <w:sz w:val="28"/>
          <w:szCs w:val="28"/>
        </w:rPr>
        <w:t>）学风建设</w:t>
      </w:r>
    </w:p>
    <w:p w14:paraId="28386C11">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全面实行教学助理跟课制度，为全体学生配备座位名牌并严格考勤，缺课三分之一的学生不得参加该课程的考试。同时严格考场管理，对违反考场纪律的学生决不姑息，弘扬考场正气，保证了考场的良好秩序。</w:t>
      </w:r>
    </w:p>
    <w:p w14:paraId="6187B793">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5</w:t>
      </w:r>
      <w:r>
        <w:rPr>
          <w:rFonts w:hint="eastAsia" w:cs="宋体" w:asciiTheme="minorEastAsia" w:hAnsiTheme="minorEastAsia" w:eastAsiaTheme="minorEastAsia"/>
          <w:color w:val="000000" w:themeColor="text1"/>
          <w:sz w:val="28"/>
          <w:szCs w:val="28"/>
        </w:rPr>
        <w:t>）教学质量评估</w:t>
      </w:r>
    </w:p>
    <w:p w14:paraId="26099154">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教育中心对每个班的每一门课程进行教学质量评估，由</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学生直接给任课老师打分，并将评估报告反馈给老师，从而帮助老师了解学生的课堂反馈和学习需求、提高教学质量和水平。另外，为提高教学质量，丰富教学手段，中心每学期定期举办教学研讨会以及学校教指委会议，通过教师之间的互动探讨以及资深专家的指导，不断地提升我院</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项目的教学质量和水平。</w:t>
      </w:r>
    </w:p>
    <w:p w14:paraId="7F75E408">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为落实从严治学的教育理念，管理学院研究生教学质量督查组对教学过程中的各环节质量进行监督检查。包括：有计划检查学院研究生课程档案管理情况、不定期抽查课堂纪律及停课调课情况、建立课程教学质量评价体系和奖惩制度。</w:t>
      </w:r>
    </w:p>
    <w:p w14:paraId="212B9361">
      <w:pPr>
        <w:pStyle w:val="11"/>
        <w:spacing w:line="360" w:lineRule="auto"/>
        <w:ind w:firstLine="408" w:firstLineChars="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w:t>
      </w:r>
      <w:r>
        <w:rPr>
          <w:rFonts w:cs="宋体" w:asciiTheme="minorEastAsia" w:hAnsiTheme="minorEastAsia" w:eastAsiaTheme="minorEastAsia"/>
          <w:color w:val="000000" w:themeColor="text1"/>
          <w:sz w:val="28"/>
          <w:szCs w:val="28"/>
        </w:rPr>
        <w:t>6</w:t>
      </w:r>
      <w:r>
        <w:rPr>
          <w:rFonts w:hint="eastAsia" w:cs="宋体" w:asciiTheme="minorEastAsia" w:hAnsiTheme="minorEastAsia" w:eastAsiaTheme="minorEastAsia"/>
          <w:color w:val="000000" w:themeColor="text1"/>
          <w:sz w:val="28"/>
          <w:szCs w:val="28"/>
        </w:rPr>
        <w:t>）质量反馈</w:t>
      </w:r>
    </w:p>
    <w:p w14:paraId="379BD6A3">
      <w:pPr>
        <w:pStyle w:val="11"/>
        <w:spacing w:line="360" w:lineRule="auto"/>
        <w:ind w:firstLine="560"/>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对每个班级实行班主任跟课制度，作为班级与中心的桥梁，班主任需了解上课的情况，深入课堂与任课教师和学生进行交流，及时反馈需求。同时中心定期举行学生座谈会，倾听学生的需求，保持良好的沟通，共同促进教学的运行。</w:t>
      </w:r>
    </w:p>
    <w:p w14:paraId="370979FF">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p>
    <w:p w14:paraId="49FEC21D">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Times New Roman" w:asciiTheme="minorEastAsia" w:hAnsiTheme="minorEastAsia" w:eastAsiaTheme="minorEastAsia"/>
          <w:b/>
          <w:bCs/>
          <w:color w:val="000000" w:themeColor="text1"/>
          <w:kern w:val="0"/>
          <w:sz w:val="28"/>
          <w:szCs w:val="28"/>
          <w:lang w:val="zh-CN"/>
        </w:rPr>
        <w:t>4</w:t>
      </w:r>
      <w:r>
        <w:rPr>
          <w:rFonts w:cs="Times New Roman"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导师指导</w:t>
      </w:r>
    </w:p>
    <w:p w14:paraId="534C3008">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导师是学位论文质量的重要保证。根据《暨南大学研究生指导教师遴选与认定办法》，MBA/EMBA论文导师由学校研究生院学位办统一进行遴选。并要求每位导师所带同一专业的学生不能超过10人，保证导师有足够的时间和精力对学生的论文进行指导。同时，中心根据学院要求，设立导师淘汰制度：具有MBA/EMBA 导师资格的教师所指导的学生论文被广东省学位办论文抽检不及格的，将被暂停导师资格，恢复导师资格需要重新申请。中心定期举行论文导师交流会，鼓励全体导师参加学校和学院组织的导师培训，促进导师之间的学习交流。经</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教育指导委员会审核，现任</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论文指导教师</w:t>
      </w:r>
      <w:r>
        <w:rPr>
          <w:rFonts w:hint="eastAsia" w:cs="Times New Roman" w:asciiTheme="minorEastAsia" w:hAnsiTheme="minorEastAsia" w:eastAsiaTheme="minorEastAsia"/>
          <w:color w:val="000000" w:themeColor="text1"/>
          <w:kern w:val="0"/>
          <w:sz w:val="28"/>
          <w:szCs w:val="28"/>
        </w:rPr>
        <w:t>87</w:t>
      </w:r>
      <w:r>
        <w:rPr>
          <w:rFonts w:hint="eastAsia" w:cs="宋体" w:asciiTheme="minorEastAsia" w:hAnsiTheme="minorEastAsia" w:eastAsiaTheme="minorEastAsia"/>
          <w:color w:val="000000" w:themeColor="text1"/>
          <w:kern w:val="0"/>
          <w:sz w:val="28"/>
          <w:szCs w:val="28"/>
          <w:lang w:val="zh-CN"/>
        </w:rPr>
        <w:t>名，</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论文指导教师</w:t>
      </w:r>
      <w:r>
        <w:rPr>
          <w:rFonts w:cs="Times New Roman" w:asciiTheme="minorEastAsia" w:hAnsiTheme="minorEastAsia" w:eastAsiaTheme="minorEastAsia"/>
          <w:color w:val="000000" w:themeColor="text1"/>
          <w:kern w:val="0"/>
          <w:sz w:val="28"/>
          <w:szCs w:val="28"/>
          <w:lang w:val="zh-CN"/>
        </w:rPr>
        <w:t>41</w:t>
      </w:r>
      <w:r>
        <w:rPr>
          <w:rFonts w:hint="eastAsia" w:cs="宋体" w:asciiTheme="minorEastAsia" w:hAnsiTheme="minorEastAsia" w:eastAsiaTheme="minorEastAsia"/>
          <w:color w:val="000000" w:themeColor="text1"/>
          <w:kern w:val="0"/>
          <w:sz w:val="28"/>
          <w:szCs w:val="28"/>
          <w:lang w:val="zh-CN"/>
        </w:rPr>
        <w:t>人，研究方向涵盖：战略管理、财务金融、市场营销、生产运作、人力资源等。</w:t>
      </w:r>
    </w:p>
    <w:p w14:paraId="5139F257">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为进一步探索和完善MBA 教育制度，体现暨南大学MBA 教育注重实践的特点，从2008 年5月开始，暨南大学MBA 教育中心推行实践导师计划，实行双导师制。根据《暨南大学研究生校外指导教师遴选办法》，校外导师由学校研究生院学位办统一进行遴选。目前，已聘MBA实践导师11</w:t>
      </w:r>
      <w:r>
        <w:rPr>
          <w:rFonts w:hint="eastAsia" w:cs="宋体" w:asciiTheme="minorEastAsia" w:hAnsiTheme="minorEastAsia" w:eastAsiaTheme="minorEastAsia"/>
          <w:color w:val="000000" w:themeColor="text1"/>
          <w:kern w:val="0"/>
          <w:sz w:val="28"/>
          <w:szCs w:val="28"/>
        </w:rPr>
        <w:t>8</w:t>
      </w:r>
      <w:r>
        <w:rPr>
          <w:rFonts w:hint="eastAsia" w:cs="宋体" w:asciiTheme="minorEastAsia" w:hAnsiTheme="minorEastAsia" w:eastAsiaTheme="minorEastAsia"/>
          <w:color w:val="000000" w:themeColor="text1"/>
          <w:kern w:val="0"/>
          <w:sz w:val="28"/>
          <w:szCs w:val="28"/>
          <w:lang w:val="zh-CN"/>
        </w:rPr>
        <w:t>人，分别来自不同的行业，旨在搭建MBA 校友与在校学生的沟通平台，通过校友导师对学生的指导、与学生的互动过程中，发掘和拓展人际关系网络，分享经验及智慧，帮助MBA 学生的成长和职业发展。</w:t>
      </w:r>
    </w:p>
    <w:p w14:paraId="02B3D739">
      <w:pPr>
        <w:autoSpaceDE w:val="0"/>
        <w:autoSpaceDN w:val="0"/>
        <w:adjustRightInd w:val="0"/>
        <w:spacing w:line="360" w:lineRule="auto"/>
        <w:ind w:firstLine="562" w:firstLineChars="200"/>
        <w:rPr>
          <w:rFonts w:cs="Times New Roman" w:asciiTheme="minorEastAsia" w:hAnsiTheme="minorEastAsia" w:eastAsiaTheme="minorEastAsia"/>
          <w:b/>
          <w:bCs/>
          <w:color w:val="000000" w:themeColor="text1"/>
          <w:kern w:val="0"/>
          <w:sz w:val="28"/>
          <w:szCs w:val="28"/>
          <w:lang w:val="zh-CN"/>
        </w:rPr>
      </w:pPr>
    </w:p>
    <w:p w14:paraId="6F67807A">
      <w:pPr>
        <w:tabs>
          <w:tab w:val="left" w:pos="312"/>
        </w:tabs>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5.实践教学</w:t>
      </w:r>
    </w:p>
    <w:p w14:paraId="3505C80F">
      <w:pPr>
        <w:autoSpaceDE w:val="0"/>
        <w:autoSpaceDN w:val="0"/>
        <w:adjustRightInd w:val="0"/>
        <w:spacing w:line="360" w:lineRule="auto"/>
        <w:ind w:firstLine="560" w:firstLineChars="200"/>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rPr>
        <w:t>MBA/EMBA教学注重教学研相结合，通过</w:t>
      </w:r>
      <w:r>
        <w:rPr>
          <w:rFonts w:hint="eastAsia" w:cs="宋体" w:asciiTheme="minorEastAsia" w:hAnsiTheme="minorEastAsia" w:eastAsiaTheme="minorEastAsia"/>
          <w:color w:val="000000" w:themeColor="text1"/>
          <w:kern w:val="0"/>
          <w:sz w:val="28"/>
          <w:szCs w:val="28"/>
          <w:lang w:val="zh-CN"/>
        </w:rPr>
        <w:t>教育生态圈来整合教学、研究、实践、产业融合等多方要素，为教师管理研究提供了广泛的素材和案例；同时，也为培养学生管理实践能力搭建了相应的平台。其中，近年我校共获得全国百优案例共1</w:t>
      </w:r>
      <w:r>
        <w:rPr>
          <w:rFonts w:hint="eastAsia" w:cs="宋体" w:asciiTheme="minorEastAsia" w:hAnsiTheme="minorEastAsia" w:eastAsiaTheme="minorEastAsia"/>
          <w:color w:val="000000" w:themeColor="text1"/>
          <w:kern w:val="0"/>
          <w:sz w:val="28"/>
          <w:szCs w:val="28"/>
        </w:rPr>
        <w:t>8</w:t>
      </w:r>
      <w:r>
        <w:rPr>
          <w:rFonts w:hint="eastAsia" w:cs="宋体" w:asciiTheme="minorEastAsia" w:hAnsiTheme="minorEastAsia" w:eastAsiaTheme="minorEastAsia"/>
          <w:color w:val="000000" w:themeColor="text1"/>
          <w:kern w:val="0"/>
          <w:sz w:val="28"/>
          <w:szCs w:val="28"/>
          <w:lang w:val="zh-CN"/>
        </w:rPr>
        <w:t>篇。</w:t>
      </w:r>
    </w:p>
    <w:p w14:paraId="05A5BBFC">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1</w:t>
      </w:r>
      <w:r>
        <w:rPr>
          <w:rFonts w:hint="eastAsia" w:cs="宋体" w:asciiTheme="minorEastAsia" w:hAnsiTheme="minorEastAsia" w:eastAsiaTheme="minorEastAsia"/>
          <w:b/>
          <w:bCs/>
          <w:color w:val="000000" w:themeColor="text1"/>
          <w:kern w:val="0"/>
          <w:sz w:val="28"/>
          <w:szCs w:val="28"/>
          <w:lang w:val="zh-CN"/>
        </w:rPr>
        <w:t>）前沿讲座拓展学术视野</w:t>
      </w:r>
    </w:p>
    <w:p w14:paraId="0E66A8A9">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中心每年分别安排</w:t>
      </w:r>
      <w:r>
        <w:rPr>
          <w:rFonts w:cs="Times New Roman" w:asciiTheme="minorEastAsia" w:hAnsiTheme="minorEastAsia" w:eastAsiaTheme="minorEastAsia"/>
          <w:color w:val="000000" w:themeColor="text1"/>
          <w:kern w:val="0"/>
          <w:sz w:val="28"/>
          <w:szCs w:val="28"/>
          <w:lang w:val="zh-CN"/>
        </w:rPr>
        <w:t>20</w:t>
      </w:r>
      <w:r>
        <w:rPr>
          <w:rFonts w:hint="eastAsia" w:cs="宋体" w:asciiTheme="minorEastAsia" w:hAnsiTheme="minorEastAsia" w:eastAsiaTheme="minorEastAsia"/>
          <w:color w:val="000000" w:themeColor="text1"/>
          <w:kern w:val="0"/>
          <w:sz w:val="28"/>
          <w:szCs w:val="28"/>
          <w:lang w:val="zh-CN"/>
        </w:rPr>
        <w:t>余场次讲座。一方面邀请暨南名师，探讨经济热点、企业发展及学界前沿研究成果；另一方面邀请学生对所在企业的实战经验进行分享，搭建通往经验智库的桥梁。</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学生要求在就读两年内参加至少</w:t>
      </w:r>
      <w:r>
        <w:rPr>
          <w:rFonts w:cs="Times New Roman" w:asciiTheme="minorEastAsia" w:hAnsiTheme="minorEastAsia" w:eastAsiaTheme="minorEastAsia"/>
          <w:color w:val="000000" w:themeColor="text1"/>
          <w:kern w:val="0"/>
          <w:sz w:val="28"/>
          <w:szCs w:val="28"/>
          <w:lang w:val="zh-CN"/>
        </w:rPr>
        <w:t>6</w:t>
      </w:r>
      <w:r>
        <w:rPr>
          <w:rFonts w:hint="eastAsia" w:cs="宋体" w:asciiTheme="minorEastAsia" w:hAnsiTheme="minorEastAsia" w:eastAsiaTheme="minorEastAsia"/>
          <w:color w:val="000000" w:themeColor="text1"/>
          <w:kern w:val="0"/>
          <w:sz w:val="28"/>
          <w:szCs w:val="28"/>
          <w:lang w:val="zh-CN"/>
        </w:rPr>
        <w:t>场，并获得</w:t>
      </w:r>
      <w:r>
        <w:rPr>
          <w:rFonts w:cs="Times New Roman" w:asciiTheme="minorEastAsia" w:hAnsiTheme="minorEastAsia" w:eastAsiaTheme="minorEastAsia"/>
          <w:color w:val="000000" w:themeColor="text1"/>
          <w:kern w:val="0"/>
          <w:sz w:val="28"/>
          <w:szCs w:val="28"/>
          <w:lang w:val="zh-CN"/>
        </w:rPr>
        <w:t>1</w:t>
      </w:r>
      <w:r>
        <w:rPr>
          <w:rFonts w:hint="eastAsia" w:cs="宋体" w:asciiTheme="minorEastAsia" w:hAnsiTheme="minorEastAsia" w:eastAsiaTheme="minorEastAsia"/>
          <w:color w:val="000000" w:themeColor="text1"/>
          <w:kern w:val="0"/>
          <w:sz w:val="28"/>
          <w:szCs w:val="28"/>
          <w:lang w:val="zh-CN"/>
        </w:rPr>
        <w:t>个学分；</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学生要求在就读两年内参加至少</w:t>
      </w:r>
      <w:r>
        <w:rPr>
          <w:rFonts w:cs="Times New Roman" w:asciiTheme="minorEastAsia" w:hAnsiTheme="minorEastAsia" w:eastAsiaTheme="minorEastAsia"/>
          <w:color w:val="000000" w:themeColor="text1"/>
          <w:kern w:val="0"/>
          <w:sz w:val="28"/>
          <w:szCs w:val="28"/>
          <w:lang w:val="zh-CN"/>
        </w:rPr>
        <w:t>5</w:t>
      </w:r>
      <w:r>
        <w:rPr>
          <w:rFonts w:hint="eastAsia" w:cs="宋体" w:asciiTheme="minorEastAsia" w:hAnsiTheme="minorEastAsia" w:eastAsiaTheme="minorEastAsia"/>
          <w:color w:val="000000" w:themeColor="text1"/>
          <w:kern w:val="0"/>
          <w:sz w:val="28"/>
          <w:szCs w:val="28"/>
          <w:lang w:val="zh-CN"/>
        </w:rPr>
        <w:t>场，并获得</w:t>
      </w:r>
      <w:r>
        <w:rPr>
          <w:rFonts w:cs="Times New Roman" w:asciiTheme="minorEastAsia" w:hAnsiTheme="minorEastAsia" w:eastAsiaTheme="minorEastAsia"/>
          <w:color w:val="000000" w:themeColor="text1"/>
          <w:kern w:val="0"/>
          <w:sz w:val="28"/>
          <w:szCs w:val="28"/>
          <w:lang w:val="zh-CN"/>
        </w:rPr>
        <w:t>1</w:t>
      </w:r>
      <w:r>
        <w:rPr>
          <w:rFonts w:hint="eastAsia" w:cs="宋体" w:asciiTheme="minorEastAsia" w:hAnsiTheme="minorEastAsia" w:eastAsiaTheme="minorEastAsia"/>
          <w:color w:val="000000" w:themeColor="text1"/>
          <w:kern w:val="0"/>
          <w:sz w:val="28"/>
          <w:szCs w:val="28"/>
          <w:lang w:val="zh-CN"/>
        </w:rPr>
        <w:t>个学分。</w:t>
      </w:r>
    </w:p>
    <w:p w14:paraId="3FEAB1C2">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）实践导师引领职业规划</w:t>
      </w:r>
    </w:p>
    <w:p w14:paraId="42A7ABB3">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为加强学生管理实践能力，拓展职业发展空间，自</w:t>
      </w:r>
      <w:r>
        <w:rPr>
          <w:rFonts w:cs="Times New Roman" w:asciiTheme="minorEastAsia" w:hAnsiTheme="minorEastAsia" w:eastAsiaTheme="minorEastAsia"/>
          <w:color w:val="000000" w:themeColor="text1"/>
          <w:kern w:val="0"/>
          <w:sz w:val="28"/>
          <w:szCs w:val="28"/>
          <w:lang w:val="zh-CN"/>
        </w:rPr>
        <w:t>2010</w:t>
      </w:r>
      <w:r>
        <w:rPr>
          <w:rFonts w:hint="eastAsia" w:cs="宋体" w:asciiTheme="minorEastAsia" w:hAnsiTheme="minorEastAsia" w:eastAsiaTheme="minorEastAsia"/>
          <w:color w:val="000000" w:themeColor="text1"/>
          <w:kern w:val="0"/>
          <w:sz w:val="28"/>
          <w:szCs w:val="28"/>
          <w:lang w:val="zh-CN"/>
        </w:rPr>
        <w:t>年开始实施校外实践导师计划。目前</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实践导师总人数已达</w:t>
      </w:r>
      <w:r>
        <w:rPr>
          <w:rFonts w:hint="eastAsia" w:cs="Times New Roman" w:asciiTheme="minorEastAsia" w:hAnsiTheme="minorEastAsia" w:eastAsiaTheme="minorEastAsia"/>
          <w:color w:val="000000" w:themeColor="text1"/>
          <w:kern w:val="0"/>
          <w:sz w:val="28"/>
          <w:szCs w:val="28"/>
        </w:rPr>
        <w:t>118</w:t>
      </w:r>
      <w:r>
        <w:rPr>
          <w:rFonts w:hint="eastAsia" w:cs="宋体" w:asciiTheme="minorEastAsia" w:hAnsiTheme="minorEastAsia" w:eastAsiaTheme="minorEastAsia"/>
          <w:color w:val="000000" w:themeColor="text1"/>
          <w:kern w:val="0"/>
          <w:sz w:val="28"/>
          <w:szCs w:val="28"/>
          <w:lang w:val="zh-CN"/>
        </w:rPr>
        <w:t>位，涵盖</w:t>
      </w:r>
      <w:r>
        <w:rPr>
          <w:rFonts w:hint="eastAsia" w:cs="宋体" w:asciiTheme="minorEastAsia" w:hAnsiTheme="minorEastAsia" w:eastAsiaTheme="minorEastAsia"/>
          <w:color w:val="000000" w:themeColor="text1"/>
          <w:kern w:val="0"/>
          <w:sz w:val="28"/>
          <w:szCs w:val="28"/>
        </w:rPr>
        <w:t>IT、金融、房地产、制造和服务等行业</w:t>
      </w:r>
      <w:r>
        <w:rPr>
          <w:rFonts w:hint="eastAsia" w:cs="宋体" w:asciiTheme="minorEastAsia" w:hAnsiTheme="minorEastAsia" w:eastAsiaTheme="minorEastAsia"/>
          <w:color w:val="000000" w:themeColor="text1"/>
          <w:kern w:val="0"/>
          <w:sz w:val="28"/>
          <w:szCs w:val="28"/>
          <w:lang w:val="zh-CN"/>
        </w:rPr>
        <w:t>。</w:t>
      </w:r>
    </w:p>
    <w:p w14:paraId="543C988A">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themeColor="text1"/>
          <w:kern w:val="0"/>
          <w:sz w:val="28"/>
          <w:szCs w:val="28"/>
          <w:lang w:val="zh-CN"/>
        </w:rPr>
        <w:t>）深入企业进行现场学习</w:t>
      </w:r>
    </w:p>
    <w:p w14:paraId="3565999E">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为</w:t>
      </w:r>
      <w:r>
        <w:rPr>
          <w:rFonts w:hint="eastAsia" w:cs="宋体" w:asciiTheme="minorEastAsia" w:hAnsiTheme="minorEastAsia" w:eastAsiaTheme="minorEastAsia"/>
          <w:color w:val="000000" w:themeColor="text1"/>
          <w:kern w:val="0"/>
          <w:sz w:val="28"/>
          <w:szCs w:val="28"/>
          <w:highlight w:val="white"/>
          <w:lang w:val="zh-CN"/>
        </w:rPr>
        <w:t>开</w:t>
      </w:r>
      <w:r>
        <w:rPr>
          <w:rFonts w:hint="eastAsia" w:cs="宋体" w:asciiTheme="minorEastAsia" w:hAnsiTheme="minorEastAsia" w:eastAsiaTheme="minorEastAsia"/>
          <w:color w:val="000000" w:themeColor="text1"/>
          <w:kern w:val="0"/>
          <w:sz w:val="28"/>
          <w:szCs w:val="28"/>
          <w:highlight w:val="white"/>
          <w:lang w:val="en-US" w:eastAsia="zh-CN"/>
        </w:rPr>
        <w:t>阔</w:t>
      </w:r>
      <w:r>
        <w:rPr>
          <w:rFonts w:hint="eastAsia" w:cs="宋体" w:asciiTheme="minorEastAsia" w:hAnsiTheme="minorEastAsia" w:eastAsiaTheme="minorEastAsia"/>
          <w:color w:val="000000" w:themeColor="text1"/>
          <w:kern w:val="0"/>
          <w:sz w:val="28"/>
          <w:szCs w:val="28"/>
          <w:highlight w:val="white"/>
          <w:lang w:val="zh-CN"/>
        </w:rPr>
        <w:t>学员视野，知行合一，中心会不定期组织移动课堂。</w:t>
      </w:r>
      <w:r>
        <w:rPr>
          <w:rFonts w:hint="eastAsia" w:cs="宋体" w:asciiTheme="minorEastAsia" w:hAnsiTheme="minorEastAsia" w:eastAsiaTheme="minorEastAsia"/>
          <w:color w:val="000000" w:themeColor="text1"/>
          <w:kern w:val="0"/>
          <w:sz w:val="28"/>
          <w:szCs w:val="28"/>
          <w:highlight w:val="white"/>
        </w:rPr>
        <w:t>MBA采用知行团、移动课堂等形式，每月组织2-3场知行团到企业进行参访学习和调研；</w:t>
      </w:r>
      <w:r>
        <w:rPr>
          <w:rFonts w:hint="eastAsia" w:cs="宋体" w:asciiTheme="minorEastAsia" w:hAnsiTheme="minorEastAsia" w:eastAsiaTheme="minorEastAsia"/>
          <w:color w:val="000000" w:themeColor="text1"/>
          <w:kern w:val="0"/>
          <w:sz w:val="28"/>
          <w:szCs w:val="28"/>
          <w:highlight w:val="white"/>
          <w:lang w:val="zh-CN"/>
        </w:rPr>
        <w:t>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学员保证在学期间至少</w:t>
      </w:r>
      <w:r>
        <w:rPr>
          <w:rFonts w:cs="Times New Roman" w:asciiTheme="minorEastAsia" w:hAnsiTheme="minorEastAsia" w:eastAsiaTheme="minorEastAsia"/>
          <w:color w:val="000000" w:themeColor="text1"/>
          <w:kern w:val="0"/>
          <w:sz w:val="28"/>
          <w:szCs w:val="28"/>
          <w:lang w:val="zh-CN"/>
        </w:rPr>
        <w:t>2</w:t>
      </w:r>
      <w:r>
        <w:rPr>
          <w:rFonts w:hint="eastAsia" w:cs="宋体" w:asciiTheme="minorEastAsia" w:hAnsiTheme="minorEastAsia" w:eastAsiaTheme="minorEastAsia"/>
          <w:color w:val="000000" w:themeColor="text1"/>
          <w:kern w:val="0"/>
          <w:sz w:val="28"/>
          <w:szCs w:val="28"/>
          <w:lang w:val="zh-CN"/>
        </w:rPr>
        <w:t>次企业参观。</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则采取知行团的形式，每年组织不同类型的企业游学、沙龙研讨、华商管理论坛、国内外移动课堂等。</w:t>
      </w:r>
    </w:p>
    <w:p w14:paraId="58C33026">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4</w:t>
      </w:r>
      <w:r>
        <w:rPr>
          <w:rFonts w:hint="eastAsia" w:cs="宋体" w:asciiTheme="minorEastAsia" w:hAnsiTheme="minorEastAsia" w:eastAsiaTheme="minorEastAsia"/>
          <w:b/>
          <w:bCs/>
          <w:color w:val="000000" w:themeColor="text1"/>
          <w:kern w:val="0"/>
          <w:sz w:val="28"/>
          <w:szCs w:val="28"/>
          <w:lang w:val="zh-CN"/>
        </w:rPr>
        <w:t>）校企合作拓宽培养路径</w:t>
      </w:r>
    </w:p>
    <w:p w14:paraId="2FAE79AC">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校企合作和实习基地是商科学院培养符合企业人才需求的重要途径之一，也是进一步提高产学研融合度的重要平台。</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拥有的教学实践基地</w:t>
      </w:r>
      <w:r>
        <w:rPr>
          <w:rFonts w:hint="eastAsia" w:cs="Times New Roman" w:asciiTheme="minorEastAsia" w:hAnsiTheme="minorEastAsia" w:eastAsiaTheme="minorEastAsia"/>
          <w:color w:val="000000" w:themeColor="text1"/>
          <w:kern w:val="0"/>
          <w:sz w:val="28"/>
          <w:szCs w:val="28"/>
        </w:rPr>
        <w:t>80</w:t>
      </w:r>
      <w:r>
        <w:rPr>
          <w:rFonts w:hint="eastAsia" w:cs="宋体" w:asciiTheme="minorEastAsia" w:hAnsiTheme="minorEastAsia" w:eastAsiaTheme="minorEastAsia"/>
          <w:color w:val="000000" w:themeColor="text1"/>
          <w:kern w:val="0"/>
          <w:sz w:val="28"/>
          <w:szCs w:val="28"/>
          <w:lang w:val="zh-CN"/>
        </w:rPr>
        <w:t>个，</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创新实践基地企业</w:t>
      </w:r>
      <w:r>
        <w:rPr>
          <w:rFonts w:hint="eastAsia" w:cs="Times New Roman" w:asciiTheme="minorEastAsia" w:hAnsiTheme="minorEastAsia" w:eastAsiaTheme="minorEastAsia"/>
          <w:color w:val="000000" w:themeColor="text1"/>
          <w:kern w:val="0"/>
          <w:sz w:val="28"/>
          <w:szCs w:val="28"/>
          <w:lang w:val="zh-CN"/>
        </w:rPr>
        <w:t>73</w:t>
      </w:r>
      <w:r>
        <w:rPr>
          <w:rFonts w:hint="eastAsia" w:cs="宋体" w:asciiTheme="minorEastAsia" w:hAnsiTheme="minorEastAsia" w:eastAsiaTheme="minorEastAsia"/>
          <w:color w:val="000000" w:themeColor="text1"/>
          <w:kern w:val="0"/>
          <w:sz w:val="28"/>
          <w:szCs w:val="28"/>
          <w:lang w:val="zh-CN"/>
        </w:rPr>
        <w:t>个，提供给学生业务培训、参观和毕业实习机会。</w:t>
      </w:r>
    </w:p>
    <w:p w14:paraId="68ADE403">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5</w:t>
      </w:r>
      <w:r>
        <w:rPr>
          <w:rFonts w:hint="eastAsia" w:cs="宋体" w:asciiTheme="minorEastAsia" w:hAnsiTheme="minorEastAsia" w:eastAsiaTheme="minorEastAsia"/>
          <w:b/>
          <w:bCs/>
          <w:color w:val="000000" w:themeColor="text1"/>
          <w:kern w:val="0"/>
          <w:sz w:val="28"/>
          <w:szCs w:val="28"/>
          <w:lang w:val="zh-CN"/>
        </w:rPr>
        <w:t>）创新形式开展整合实践</w:t>
      </w:r>
    </w:p>
    <w:p w14:paraId="057FF4FE">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整合实践是</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教育的重要环节。通过进一步提高</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学员整合知识、技能、经验和团队合作的能力，学院要求所有全日制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学生在第二学年必须参与基于项目的学习（</w:t>
      </w:r>
      <w:r>
        <w:rPr>
          <w:rFonts w:cs="Times New Roman" w:asciiTheme="minorEastAsia" w:hAnsiTheme="minorEastAsia" w:eastAsiaTheme="minorEastAsia"/>
          <w:color w:val="000000" w:themeColor="text1"/>
          <w:kern w:val="0"/>
          <w:sz w:val="28"/>
          <w:szCs w:val="28"/>
          <w:lang w:val="zh-CN"/>
        </w:rPr>
        <w:t>PBL</w:t>
      </w:r>
      <w:r>
        <w:rPr>
          <w:rFonts w:hint="eastAsia" w:cs="宋体" w:asciiTheme="minorEastAsia" w:hAnsiTheme="minorEastAsia" w:eastAsiaTheme="minorEastAsia"/>
          <w:color w:val="000000" w:themeColor="text1"/>
          <w:kern w:val="0"/>
          <w:sz w:val="28"/>
          <w:szCs w:val="28"/>
          <w:lang w:val="zh-CN"/>
        </w:rPr>
        <w:t>），并以解决具体企业的实际问题为导向来完成毕业论文；非全日制可以作为选修课参加。</w:t>
      </w:r>
    </w:p>
    <w:p w14:paraId="494AABEB">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E</w:t>
      </w:r>
      <w:r>
        <w:rPr>
          <w:rFonts w:hint="eastAsia" w:cs="宋体" w:asciiTheme="minorEastAsia" w:hAnsiTheme="minorEastAsia" w:eastAsiaTheme="minorEastAsia"/>
          <w:color w:val="000000" w:themeColor="text1"/>
          <w:kern w:val="0"/>
          <w:sz w:val="28"/>
          <w:szCs w:val="28"/>
          <w:lang w:val="zh-CN"/>
        </w:rPr>
        <w:t>战成名商业实战大赛则是</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在整合实践方面的创新，项目是把</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教育打造为以转型和创新为核心的专业知识交流、管理经验交流、社会网络关系构建、学校品牌塑造四大平台的重要途径，参赛学生可获得</w:t>
      </w:r>
      <w:r>
        <w:rPr>
          <w:rFonts w:cs="Times New Roman" w:asciiTheme="minorEastAsia" w:hAnsiTheme="minorEastAsia" w:eastAsiaTheme="minorEastAsia"/>
          <w:color w:val="000000" w:themeColor="text1"/>
          <w:kern w:val="0"/>
          <w:sz w:val="28"/>
          <w:szCs w:val="28"/>
          <w:lang w:val="zh-CN"/>
        </w:rPr>
        <w:t>1</w:t>
      </w:r>
      <w:r>
        <w:rPr>
          <w:rFonts w:hint="eastAsia" w:cs="宋体" w:asciiTheme="minorEastAsia" w:hAnsiTheme="minorEastAsia" w:eastAsiaTheme="minorEastAsia"/>
          <w:color w:val="000000" w:themeColor="text1"/>
          <w:kern w:val="0"/>
          <w:sz w:val="28"/>
          <w:szCs w:val="28"/>
          <w:lang w:val="zh-CN"/>
        </w:rPr>
        <w:t>个学分。其中，广东省省回头车科技有限公司获得千万级融资并已经快速占领南方货运市场，艾米农场获评《</w:t>
      </w:r>
      <w:r>
        <w:rPr>
          <w:rFonts w:cs="宋体" w:asciiTheme="minorEastAsia" w:hAnsiTheme="minorEastAsia" w:eastAsiaTheme="minorEastAsia"/>
          <w:color w:val="000000" w:themeColor="text1"/>
          <w:kern w:val="0"/>
          <w:sz w:val="28"/>
          <w:szCs w:val="28"/>
          <w:lang w:val="zh-CN"/>
        </w:rPr>
        <w:t>21世纪商业评论》年度创新商业模式大奖</w:t>
      </w:r>
      <w:r>
        <w:rPr>
          <w:rFonts w:hint="eastAsia" w:cs="宋体" w:asciiTheme="minorEastAsia" w:hAnsiTheme="minorEastAsia" w:eastAsiaTheme="minorEastAsia"/>
          <w:color w:val="000000" w:themeColor="text1"/>
          <w:kern w:val="0"/>
          <w:sz w:val="28"/>
          <w:szCs w:val="28"/>
          <w:lang w:val="zh-CN"/>
        </w:rPr>
        <w:t>，碳歌新材问鼎创业竞赛节目《众创英雄汇》。</w:t>
      </w:r>
    </w:p>
    <w:p w14:paraId="062018B1">
      <w:pPr>
        <w:autoSpaceDE w:val="0"/>
        <w:autoSpaceDN w:val="0"/>
        <w:adjustRightInd w:val="0"/>
        <w:spacing w:line="360" w:lineRule="auto"/>
        <w:rPr>
          <w:rFonts w:cs="Times New Roman" w:asciiTheme="minorEastAsia" w:hAnsiTheme="minorEastAsia" w:eastAsiaTheme="minorEastAsia"/>
          <w:color w:val="000000" w:themeColor="text1"/>
          <w:kern w:val="0"/>
          <w:sz w:val="28"/>
          <w:szCs w:val="28"/>
          <w:lang w:val="zh-CN"/>
        </w:rPr>
      </w:pPr>
    </w:p>
    <w:p w14:paraId="03658FB2">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Times New Roman" w:asciiTheme="minorEastAsia" w:hAnsiTheme="minorEastAsia" w:eastAsiaTheme="minorEastAsia"/>
          <w:b/>
          <w:bCs/>
          <w:color w:val="000000" w:themeColor="text1"/>
          <w:kern w:val="0"/>
          <w:sz w:val="28"/>
          <w:szCs w:val="28"/>
          <w:lang w:val="zh-CN"/>
        </w:rPr>
        <w:t>6</w:t>
      </w:r>
      <w:r>
        <w:rPr>
          <w:rFonts w:cs="Times New Roman"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学术交流</w:t>
      </w:r>
    </w:p>
    <w:p w14:paraId="2812DE96">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暨南</w:t>
      </w:r>
      <w:r>
        <w:rPr>
          <w:rFonts w:hint="eastAsia" w:cs="宋体" w:asciiTheme="minorEastAsia" w:hAnsiTheme="minorEastAsia" w:eastAsiaTheme="minorEastAsia"/>
          <w:color w:val="000000" w:themeColor="text1"/>
          <w:kern w:val="0"/>
          <w:sz w:val="28"/>
          <w:szCs w:val="28"/>
        </w:rPr>
        <w:t>MBA的国际化不仅在于师资与学生的多元化，还在于多种形式的国际深度交流学习。每年学生们都有机会申请至海外合作高校开展3-6个月的免费交换学习交流。合作院校有日本名古屋商学院、法国诺曼底高等商学院、波兰波兹南经济学院、意大利萨兰托大学等。</w:t>
      </w:r>
      <w:r>
        <w:rPr>
          <w:rFonts w:hint="eastAsia" w:cs="宋体" w:asciiTheme="minorEastAsia" w:hAnsiTheme="minorEastAsia" w:eastAsiaTheme="minorEastAsia"/>
          <w:color w:val="000000" w:themeColor="text1"/>
          <w:kern w:val="0"/>
          <w:sz w:val="28"/>
          <w:szCs w:val="28"/>
          <w:lang w:val="zh-CN"/>
        </w:rPr>
        <w:t>近五年，</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共有</w:t>
      </w:r>
      <w:r>
        <w:rPr>
          <w:rFonts w:hint="eastAsia" w:cs="Times New Roman" w:asciiTheme="minorEastAsia" w:hAnsiTheme="minorEastAsia" w:eastAsiaTheme="minorEastAsia"/>
          <w:color w:val="000000" w:themeColor="text1"/>
          <w:kern w:val="0"/>
          <w:sz w:val="28"/>
          <w:szCs w:val="28"/>
        </w:rPr>
        <w:t>37</w:t>
      </w:r>
      <w:r>
        <w:rPr>
          <w:rFonts w:hint="eastAsia" w:cs="宋体" w:asciiTheme="minorEastAsia" w:hAnsiTheme="minorEastAsia" w:eastAsiaTheme="minorEastAsia"/>
          <w:color w:val="000000" w:themeColor="text1"/>
          <w:kern w:val="0"/>
          <w:sz w:val="28"/>
          <w:szCs w:val="28"/>
          <w:lang w:val="zh-CN"/>
        </w:rPr>
        <w:t>人次前往海外进行交流或交换学习；与此同时，</w:t>
      </w:r>
      <w:r>
        <w:rPr>
          <w:rFonts w:hint="eastAsia" w:cs="宋体" w:asciiTheme="minorEastAsia" w:hAnsiTheme="minorEastAsia" w:eastAsiaTheme="minorEastAsia"/>
          <w:color w:val="000000" w:themeColor="text1"/>
          <w:kern w:val="0"/>
          <w:sz w:val="28"/>
          <w:szCs w:val="28"/>
        </w:rPr>
        <w:t>全日制MBA项目每年也有</w:t>
      </w:r>
      <w:r>
        <w:rPr>
          <w:rFonts w:hint="eastAsia" w:cs="宋体" w:asciiTheme="minorEastAsia" w:hAnsiTheme="minorEastAsia" w:eastAsiaTheme="minorEastAsia"/>
          <w:color w:val="000000" w:themeColor="text1"/>
          <w:kern w:val="0"/>
          <w:sz w:val="28"/>
          <w:szCs w:val="28"/>
          <w:lang w:val="zh-CN"/>
        </w:rPr>
        <w:t>来自法国、波兰、意大利等多国的交换生前来学习。海外交换学习不仅能够让学生们切实展开学术交流、学习国际一流商学院的管理知识，还能够真切的体验异域文化、提升沟通和适应能力、开拓国际视野。</w:t>
      </w:r>
    </w:p>
    <w:p w14:paraId="743DB239">
      <w:pPr>
        <w:autoSpaceDE w:val="0"/>
        <w:autoSpaceDN w:val="0"/>
        <w:adjustRightInd w:val="0"/>
        <w:spacing w:line="360" w:lineRule="auto"/>
        <w:rPr>
          <w:rFonts w:cs="Times New Roman" w:asciiTheme="minorEastAsia" w:hAnsiTheme="minorEastAsia" w:eastAsiaTheme="minorEastAsia"/>
          <w:color w:val="000000" w:themeColor="text1"/>
          <w:kern w:val="0"/>
          <w:sz w:val="28"/>
          <w:szCs w:val="28"/>
          <w:lang w:val="zh-CN"/>
        </w:rPr>
      </w:pPr>
    </w:p>
    <w:p w14:paraId="73D186BF">
      <w:pPr>
        <w:autoSpaceDE w:val="0"/>
        <w:autoSpaceDN w:val="0"/>
        <w:adjustRightInd w:val="0"/>
        <w:spacing w:line="360" w:lineRule="auto"/>
        <w:rPr>
          <w:rFonts w:cs="Times New Roman"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b/>
          <w:bCs/>
          <w:color w:val="000000" w:themeColor="text1"/>
          <w:kern w:val="0"/>
          <w:sz w:val="28"/>
          <w:szCs w:val="28"/>
        </w:rPr>
        <w:t>7.</w:t>
      </w:r>
      <w:r>
        <w:rPr>
          <w:rFonts w:hint="eastAsia" w:cs="宋体" w:asciiTheme="minorEastAsia" w:hAnsiTheme="minorEastAsia" w:eastAsiaTheme="minorEastAsia"/>
          <w:b/>
          <w:bCs/>
          <w:color w:val="000000" w:themeColor="text1"/>
          <w:kern w:val="0"/>
          <w:sz w:val="28"/>
          <w:szCs w:val="28"/>
          <w:lang w:val="zh-CN"/>
        </w:rPr>
        <w:t>论文质量</w:t>
      </w:r>
    </w:p>
    <w:p w14:paraId="4967D90E">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论文质量是衡量硕士研究生培养水平的重要标志。全面实行导师负责、选题开题、预查重、</w:t>
      </w:r>
      <w:r>
        <w:rPr>
          <w:rFonts w:cs="宋体" w:asciiTheme="minorEastAsia" w:hAnsiTheme="minorEastAsia" w:eastAsiaTheme="minorEastAsia"/>
          <w:color w:val="000000" w:themeColor="text1"/>
          <w:kern w:val="0"/>
          <w:sz w:val="28"/>
          <w:szCs w:val="28"/>
          <w:lang w:val="zh-CN"/>
        </w:rPr>
        <w:t>预答辩、</w:t>
      </w:r>
      <w:r>
        <w:rPr>
          <w:rFonts w:hint="eastAsia" w:cs="宋体" w:asciiTheme="minorEastAsia" w:hAnsiTheme="minorEastAsia" w:eastAsiaTheme="minorEastAsia"/>
          <w:color w:val="000000" w:themeColor="text1"/>
          <w:kern w:val="0"/>
          <w:sz w:val="28"/>
          <w:szCs w:val="28"/>
          <w:lang w:val="zh-CN"/>
        </w:rPr>
        <w:t>正式查重、盲审、正式答辩、 末位监控的制度，在论文过程的每一环节中进行分流淘汰，严格把控质量。</w:t>
      </w:r>
    </w:p>
    <w:p w14:paraId="2CC780F9">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1</w:t>
      </w:r>
      <w:r>
        <w:rPr>
          <w:rFonts w:cs="宋体" w:asciiTheme="minorEastAsia" w:hAnsiTheme="minorEastAsia" w:eastAsiaTheme="minorEastAsia"/>
          <w:color w:val="000000" w:themeColor="text1"/>
          <w:kern w:val="0"/>
          <w:sz w:val="28"/>
          <w:szCs w:val="28"/>
          <w:lang w:val="zh-CN"/>
        </w:rPr>
        <w:t>）论文格式与类型</w:t>
      </w:r>
    </w:p>
    <w:p w14:paraId="1DF0D36B">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根据《</w:t>
      </w:r>
      <w:r>
        <w:rPr>
          <w:rFonts w:hint="eastAsia" w:cs="宋体" w:asciiTheme="minorEastAsia" w:hAnsiTheme="minorEastAsia" w:eastAsiaTheme="minorEastAsia"/>
          <w:color w:val="000000" w:themeColor="text1"/>
          <w:kern w:val="0"/>
          <w:sz w:val="28"/>
          <w:szCs w:val="28"/>
          <w:lang w:val="zh-CN"/>
        </w:rPr>
        <w:t>暨南大学工商管理硕士学位论文的基本类型与要求</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学位论文重点考核应用价值、理论深度（避免与企业工作报告和宣传材料雷同）、研究方法、资料的详实程度和真实性、论文的规范性等方面。论文内容应层次分明，数据可靠，文字简练，说明透彻，推理严谨，立论正确。</w:t>
      </w:r>
      <w:r>
        <w:rPr>
          <w:rFonts w:cs="宋体" w:asciiTheme="minorEastAsia" w:hAnsiTheme="minorEastAsia" w:eastAsiaTheme="minorEastAsia"/>
          <w:color w:val="000000" w:themeColor="text1"/>
          <w:kern w:val="0"/>
          <w:sz w:val="28"/>
          <w:szCs w:val="28"/>
          <w:lang w:val="zh-CN"/>
        </w:rPr>
        <w:t>论文类型包括：案例分析报告、调查研究报告和企业诊断报告。论文的格式有严格的标准和规定，学生务必根据要求撰写论文。</w:t>
      </w:r>
    </w:p>
    <w:p w14:paraId="0D6DD052">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（2）论文查重</w:t>
      </w:r>
    </w:p>
    <w:p w14:paraId="0113AA4F">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cs="宋体" w:asciiTheme="minorEastAsia" w:hAnsiTheme="minorEastAsia" w:eastAsiaTheme="minorEastAsia"/>
          <w:color w:val="000000" w:themeColor="text1"/>
          <w:kern w:val="0"/>
          <w:sz w:val="28"/>
          <w:szCs w:val="28"/>
        </w:rPr>
        <w:t>每年学校将组织论文预查重和正式查重。</w:t>
      </w:r>
      <w:r>
        <w:rPr>
          <w:rFonts w:hint="eastAsia" w:cs="宋体" w:asciiTheme="minorEastAsia" w:hAnsiTheme="minorEastAsia" w:eastAsiaTheme="minorEastAsia"/>
          <w:color w:val="000000" w:themeColor="text1"/>
          <w:kern w:val="0"/>
          <w:sz w:val="28"/>
          <w:szCs w:val="28"/>
        </w:rPr>
        <w:t>MBA</w:t>
      </w:r>
      <w:r>
        <w:rPr>
          <w:rFonts w:cs="宋体" w:asciiTheme="minorEastAsia" w:hAnsiTheme="minorEastAsia" w:eastAsiaTheme="minorEastAsia"/>
          <w:color w:val="000000" w:themeColor="text1"/>
          <w:kern w:val="0"/>
          <w:sz w:val="28"/>
          <w:szCs w:val="28"/>
        </w:rPr>
        <w:t>论文总文字复制比小于</w:t>
      </w:r>
      <w:r>
        <w:rPr>
          <w:rFonts w:hint="eastAsia" w:cs="宋体" w:asciiTheme="minorEastAsia" w:hAnsiTheme="minorEastAsia" w:eastAsiaTheme="minorEastAsia"/>
          <w:color w:val="000000" w:themeColor="text1"/>
          <w:kern w:val="0"/>
          <w:sz w:val="28"/>
          <w:szCs w:val="28"/>
        </w:rPr>
        <w:t>2</w:t>
      </w:r>
      <w:r>
        <w:rPr>
          <w:rFonts w:cs="宋体" w:asciiTheme="minorEastAsia" w:hAnsiTheme="minorEastAsia" w:eastAsiaTheme="minorEastAsia"/>
          <w:color w:val="000000" w:themeColor="text1"/>
          <w:kern w:val="0"/>
          <w:sz w:val="28"/>
          <w:szCs w:val="28"/>
        </w:rPr>
        <w:t>0%才能进入论文盲审环节</w:t>
      </w:r>
      <w:r>
        <w:rPr>
          <w:rFonts w:hint="eastAsia" w:cs="宋体" w:asciiTheme="minorEastAsia" w:hAnsiTheme="minorEastAsia" w:eastAsiaTheme="minorEastAsia"/>
          <w:color w:val="000000" w:themeColor="text1"/>
          <w:kern w:val="0"/>
          <w:sz w:val="28"/>
          <w:szCs w:val="28"/>
        </w:rPr>
        <w:t>；EMBA</w:t>
      </w:r>
      <w:r>
        <w:rPr>
          <w:rFonts w:cs="宋体" w:asciiTheme="minorEastAsia" w:hAnsiTheme="minorEastAsia" w:eastAsiaTheme="minorEastAsia"/>
          <w:color w:val="000000" w:themeColor="text1"/>
          <w:kern w:val="0"/>
          <w:sz w:val="28"/>
          <w:szCs w:val="28"/>
        </w:rPr>
        <w:t>论文总文字复制比小于</w:t>
      </w:r>
      <w:r>
        <w:rPr>
          <w:rFonts w:hint="eastAsia" w:cs="宋体" w:asciiTheme="minorEastAsia" w:hAnsiTheme="minorEastAsia" w:eastAsiaTheme="minorEastAsia"/>
          <w:color w:val="000000" w:themeColor="text1"/>
          <w:kern w:val="0"/>
          <w:sz w:val="28"/>
          <w:szCs w:val="28"/>
        </w:rPr>
        <w:t>3</w:t>
      </w:r>
      <w:r>
        <w:rPr>
          <w:rFonts w:cs="宋体" w:asciiTheme="minorEastAsia" w:hAnsiTheme="minorEastAsia" w:eastAsiaTheme="minorEastAsia"/>
          <w:color w:val="000000" w:themeColor="text1"/>
          <w:kern w:val="0"/>
          <w:sz w:val="28"/>
          <w:szCs w:val="28"/>
        </w:rPr>
        <w:t>0%才能进入论文盲审环节</w:t>
      </w:r>
      <w:r>
        <w:rPr>
          <w:rFonts w:hint="eastAsia" w:cs="宋体" w:asciiTheme="minorEastAsia" w:hAnsiTheme="minorEastAsia" w:eastAsiaTheme="minorEastAsia"/>
          <w:color w:val="000000" w:themeColor="text1"/>
          <w:kern w:val="0"/>
          <w:sz w:val="28"/>
          <w:szCs w:val="28"/>
        </w:rPr>
        <w:t>。</w:t>
      </w:r>
      <w:r>
        <w:rPr>
          <w:rFonts w:cs="宋体" w:asciiTheme="minorEastAsia" w:hAnsiTheme="minorEastAsia" w:eastAsiaTheme="minorEastAsia"/>
          <w:color w:val="000000" w:themeColor="text1"/>
          <w:kern w:val="0"/>
          <w:sz w:val="28"/>
          <w:szCs w:val="28"/>
        </w:rPr>
        <w:t>超过</w:t>
      </w:r>
      <w:r>
        <w:rPr>
          <w:rFonts w:hint="eastAsia" w:cs="宋体" w:asciiTheme="minorEastAsia" w:hAnsiTheme="minorEastAsia" w:eastAsiaTheme="minorEastAsia"/>
          <w:color w:val="000000" w:themeColor="text1"/>
          <w:kern w:val="0"/>
          <w:sz w:val="28"/>
          <w:szCs w:val="28"/>
        </w:rPr>
        <w:t>5</w:t>
      </w:r>
      <w:r>
        <w:rPr>
          <w:rFonts w:cs="宋体" w:asciiTheme="minorEastAsia" w:hAnsiTheme="minorEastAsia" w:eastAsiaTheme="minorEastAsia"/>
          <w:color w:val="000000" w:themeColor="text1"/>
          <w:kern w:val="0"/>
          <w:sz w:val="28"/>
          <w:szCs w:val="28"/>
        </w:rPr>
        <w:t>0%者，不受理本次学位申请，由学院成立约谈小组进行约谈，督促导师切实履行论文指导责任，加强导师对学位论文规范性的指导，帮助学生认真修改论文。约谈记录需提交研究生院备案。</w:t>
      </w:r>
    </w:p>
    <w:p w14:paraId="1D332245">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cs="宋体" w:asciiTheme="minorEastAsia" w:hAnsiTheme="minorEastAsia" w:eastAsiaTheme="minorEastAsia"/>
          <w:color w:val="000000" w:themeColor="text1"/>
          <w:kern w:val="0"/>
          <w:sz w:val="28"/>
          <w:szCs w:val="28"/>
        </w:rPr>
        <w:t>（</w:t>
      </w:r>
      <w:r>
        <w:rPr>
          <w:rFonts w:hint="eastAsia" w:cs="宋体" w:asciiTheme="minorEastAsia" w:hAnsiTheme="minorEastAsia" w:eastAsiaTheme="minorEastAsia"/>
          <w:color w:val="000000" w:themeColor="text1"/>
          <w:kern w:val="0"/>
          <w:sz w:val="28"/>
          <w:szCs w:val="28"/>
        </w:rPr>
        <w:t>3</w:t>
      </w:r>
      <w:r>
        <w:rPr>
          <w:rFonts w:cs="宋体" w:asciiTheme="minorEastAsia" w:hAnsiTheme="minorEastAsia" w:eastAsiaTheme="minorEastAsia"/>
          <w:color w:val="000000" w:themeColor="text1"/>
          <w:kern w:val="0"/>
          <w:sz w:val="28"/>
          <w:szCs w:val="28"/>
        </w:rPr>
        <w:t>）论文评阅</w:t>
      </w:r>
    </w:p>
    <w:p w14:paraId="6C89D421">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lang w:val="zh-CN"/>
        </w:rPr>
        <w:t>自2016年夏季</w:t>
      </w:r>
      <w:r>
        <w:rPr>
          <w:rFonts w:cs="宋体" w:asciiTheme="minorEastAsia" w:hAnsiTheme="minorEastAsia" w:eastAsiaTheme="minorEastAsia"/>
          <w:color w:val="000000" w:themeColor="text1"/>
          <w:kern w:val="0"/>
          <w:sz w:val="28"/>
          <w:szCs w:val="28"/>
          <w:lang w:val="zh-CN"/>
        </w:rPr>
        <w:t>起，论文评阅全面实行双盲审制度。</w:t>
      </w:r>
      <w:r>
        <w:rPr>
          <w:rFonts w:hint="eastAsia" w:cs="宋体" w:asciiTheme="minorEastAsia" w:hAnsiTheme="minorEastAsia" w:eastAsiaTheme="minorEastAsia"/>
          <w:color w:val="000000" w:themeColor="text1"/>
          <w:kern w:val="0"/>
          <w:sz w:val="28"/>
          <w:szCs w:val="28"/>
          <w:lang w:val="zh-CN"/>
        </w:rPr>
        <w:t>评阅人由2位副教授(或相当专业技术职务)以上的</w:t>
      </w:r>
      <w:r>
        <w:rPr>
          <w:rFonts w:cs="宋体" w:asciiTheme="minorEastAsia" w:hAnsiTheme="minorEastAsia" w:eastAsiaTheme="minorEastAsia"/>
          <w:color w:val="000000" w:themeColor="text1"/>
          <w:kern w:val="0"/>
          <w:sz w:val="28"/>
          <w:szCs w:val="28"/>
          <w:lang w:val="zh-CN"/>
        </w:rPr>
        <w:t>校外</w:t>
      </w:r>
      <w:r>
        <w:rPr>
          <w:rFonts w:hint="eastAsia" w:cs="宋体" w:asciiTheme="minorEastAsia" w:hAnsiTheme="minorEastAsia" w:eastAsiaTheme="minorEastAsia"/>
          <w:color w:val="000000" w:themeColor="text1"/>
          <w:kern w:val="0"/>
          <w:sz w:val="28"/>
          <w:szCs w:val="28"/>
          <w:lang w:val="zh-CN"/>
        </w:rPr>
        <w:t>专家担任，要求责任心强，学风正派，学术造诣较深</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评阅人应对论文是否达到硕士学位学术水平和可否答辩提出意见。评阅结果为“论文未达到硕士学位论文水平”或“不同意参加答辩”的，均视为该份论文评阅未获通过。论文评阅人中有1人的评语为否定意见，则不能立即举行论文答辩，应增聘一名专家评阅论文。如两位评阅人(含增聘专家)持否定意见，则不能举行论文答辩，可由申请人进行论文修改，半年后再申请答辩。</w:t>
      </w:r>
    </w:p>
    <w:p w14:paraId="794104DA">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rPr>
      </w:pPr>
      <w:r>
        <w:rPr>
          <w:rFonts w:cs="宋体" w:asciiTheme="minorEastAsia" w:hAnsiTheme="minorEastAsia" w:eastAsiaTheme="minorEastAsia"/>
          <w:color w:val="000000" w:themeColor="text1"/>
          <w:kern w:val="0"/>
          <w:sz w:val="28"/>
          <w:szCs w:val="28"/>
        </w:rPr>
        <w:t>（</w:t>
      </w:r>
      <w:r>
        <w:rPr>
          <w:rFonts w:hint="eastAsia" w:cs="宋体" w:asciiTheme="minorEastAsia" w:hAnsiTheme="minorEastAsia" w:eastAsiaTheme="minorEastAsia"/>
          <w:color w:val="000000" w:themeColor="text1"/>
          <w:kern w:val="0"/>
          <w:sz w:val="28"/>
          <w:szCs w:val="28"/>
        </w:rPr>
        <w:t>4</w:t>
      </w:r>
      <w:r>
        <w:rPr>
          <w:rFonts w:cs="宋体" w:asciiTheme="minorEastAsia" w:hAnsiTheme="minorEastAsia" w:eastAsiaTheme="minorEastAsia"/>
          <w:color w:val="000000" w:themeColor="text1"/>
          <w:kern w:val="0"/>
          <w:sz w:val="28"/>
          <w:szCs w:val="28"/>
        </w:rPr>
        <w:t>）论文原始材料</w:t>
      </w:r>
    </w:p>
    <w:p w14:paraId="6BDE4D2C">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为保证研究生在科研活动中遵循实事求是的科学精神和严谨认真的治学态度，维护学术诚信，确保学位论文质量，学校从2017年冬季始，对拟申请学位人员的学位论文原始资料及数据记录开展审核，审核后方可进行学位论文答辩等后续环节。</w:t>
      </w:r>
      <w:r>
        <w:rPr>
          <w:rFonts w:cs="宋体" w:asciiTheme="minorEastAsia" w:hAnsiTheme="minorEastAsia" w:eastAsiaTheme="minorEastAsia"/>
          <w:color w:val="000000" w:themeColor="text1"/>
          <w:kern w:val="0"/>
          <w:sz w:val="28"/>
          <w:szCs w:val="28"/>
        </w:rPr>
        <w:t>答辩结束后，论文原始材料于学院存档，以备抽查。</w:t>
      </w:r>
    </w:p>
    <w:p w14:paraId="4ED13DD9">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rPr>
      </w:pPr>
    </w:p>
    <w:p w14:paraId="66E759A6">
      <w:pPr>
        <w:autoSpaceDE w:val="0"/>
        <w:autoSpaceDN w:val="0"/>
        <w:adjustRightInd w:val="0"/>
        <w:spacing w:line="360" w:lineRule="auto"/>
        <w:ind w:firstLine="480"/>
        <w:rPr>
          <w:rFonts w:cs="宋体" w:asciiTheme="minorEastAsia" w:hAnsiTheme="minorEastAsia" w:eastAsiaTheme="minorEastAsia"/>
          <w:color w:val="000000" w:themeColor="text1"/>
          <w:kern w:val="0"/>
          <w:sz w:val="28"/>
          <w:szCs w:val="28"/>
        </w:rPr>
      </w:pPr>
    </w:p>
    <w:p w14:paraId="70A29789">
      <w:pPr>
        <w:numPr>
          <w:ilvl w:val="0"/>
          <w:numId w:val="2"/>
        </w:num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质量保证</w:t>
      </w:r>
    </w:p>
    <w:p w14:paraId="20F99EEE">
      <w:pPr>
        <w:autoSpaceDE w:val="0"/>
        <w:autoSpaceDN w:val="0"/>
        <w:adjustRightInd w:val="0"/>
        <w:spacing w:line="360" w:lineRule="auto"/>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8.1培养方案的制定</w:t>
      </w:r>
    </w:p>
    <w:p w14:paraId="45E0528D">
      <w:pPr>
        <w:autoSpaceDE w:val="0"/>
        <w:autoSpaceDN w:val="0"/>
        <w:adjustRightInd w:val="0"/>
        <w:spacing w:line="360" w:lineRule="auto"/>
        <w:ind w:firstLine="560" w:firstLineChars="200"/>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为深入贯彻全国、广东省和学校研究生教育根本精神，围绕立德树人根本任务，深化研究生教育综合改革，切实提高研究生培养质量，进一步优化人才培养，适应新时代对高层次人才的需求，学校每年会定期开展究生培养方案（含博士、硕士）修订工作。MBA/EMBA中心会根据学校对研究生培养方案的工作要求，结合专业本身的特色，在教指委的指导下，制定、调整、优化以实践为导向，具有应用性、前瞻性为核心特征的MBA/EMBA培养方案，开发优质课程。</w:t>
      </w:r>
    </w:p>
    <w:p w14:paraId="1B749EA8">
      <w:pPr>
        <w:autoSpaceDE w:val="0"/>
        <w:autoSpaceDN w:val="0"/>
        <w:adjustRightInd w:val="0"/>
        <w:spacing w:line="360" w:lineRule="auto"/>
        <w:rPr>
          <w:rFonts w:asciiTheme="minorEastAsia" w:hAnsiTheme="minorEastAsia" w:eastAsiaTheme="minorEastAsia"/>
          <w:color w:val="000000" w:themeColor="text1"/>
          <w:sz w:val="28"/>
          <w:szCs w:val="28"/>
        </w:rPr>
      </w:pPr>
    </w:p>
    <w:p w14:paraId="26DFD4E3">
      <w:pPr>
        <w:autoSpaceDE w:val="0"/>
        <w:autoSpaceDN w:val="0"/>
        <w:adjustRightInd w:val="0"/>
        <w:spacing w:line="360" w:lineRule="auto"/>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8.2师资遴选与培养</w:t>
      </w:r>
    </w:p>
    <w:p w14:paraId="58BD4762">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本学位点执行严格的师资遴选制度，要求为学生讲授专业课的教师必须具有博士学位或副教授以上职称，并且具有管理实践或管理咨询的经历。建立教师“试讲”制度，通过安排讲座并对参与的学生进行无记名调查，才能获得课程任课资格。</w:t>
      </w:r>
      <w:r>
        <w:rPr>
          <w:rFonts w:cs="宋体" w:asciiTheme="minorEastAsia" w:hAnsiTheme="minorEastAsia" w:eastAsiaTheme="minorEastAsia"/>
          <w:color w:val="000000" w:themeColor="text1"/>
          <w:sz w:val="28"/>
          <w:szCs w:val="28"/>
        </w:rPr>
        <w:t xml:space="preserve">MBA/EMBA </w:t>
      </w:r>
      <w:r>
        <w:rPr>
          <w:rFonts w:hint="eastAsia" w:cs="宋体" w:asciiTheme="minorEastAsia" w:hAnsiTheme="minorEastAsia" w:eastAsiaTheme="minorEastAsia"/>
          <w:color w:val="000000" w:themeColor="text1"/>
          <w:sz w:val="28"/>
          <w:szCs w:val="28"/>
        </w:rPr>
        <w:t>教育中心积极支持鼓励任课教师参加国内、国外课程研讨会，促进教师间的交流，提高教学水平。与此同时，本学位点通过教师课程组建设的模式，不断实现课程模块化持续创新与教师队伍建设紧密结合，实现了教学的持续优化。通过多年的师资队伍建设，学校形成了一支高素质的教师队伍。</w:t>
      </w:r>
    </w:p>
    <w:p w14:paraId="314455C0">
      <w:pPr>
        <w:autoSpaceDE w:val="0"/>
        <w:autoSpaceDN w:val="0"/>
        <w:adjustRightInd w:val="0"/>
        <w:spacing w:line="360" w:lineRule="auto"/>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8.3课程质量监督体系</w:t>
      </w:r>
    </w:p>
    <w:p w14:paraId="35E0F39E">
      <w:pPr>
        <w:pStyle w:val="11"/>
        <w:numPr>
          <w:ilvl w:val="0"/>
          <w:numId w:val="3"/>
        </w:numPr>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教学质量评估</w:t>
      </w:r>
    </w:p>
    <w:p w14:paraId="335D6624">
      <w:pPr>
        <w:pStyle w:val="11"/>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暨南大学</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教育中心对每个班的每一门课程进行教学质量评估，由学生直接给任课老师打分，并将评估报告反馈给老师，从而帮助老师了解学生的课堂反馈和学习需求、提高教学质量和水平。</w:t>
      </w:r>
    </w:p>
    <w:p w14:paraId="35E61818">
      <w:pPr>
        <w:pStyle w:val="11"/>
        <w:spacing w:line="360" w:lineRule="auto"/>
        <w:ind w:firstLine="560"/>
        <w:rPr>
          <w:rFonts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中心每学期定期举办教学研讨会、课程组教学研讨会以及</w:t>
      </w:r>
      <w:r>
        <w:rPr>
          <w:rFonts w:cs="宋体" w:asciiTheme="minorEastAsia" w:hAnsiTheme="minorEastAsia" w:eastAsiaTheme="minorEastAsia"/>
          <w:color w:val="000000" w:themeColor="text1"/>
          <w:sz w:val="28"/>
          <w:szCs w:val="28"/>
        </w:rPr>
        <w:t>MBA</w:t>
      </w:r>
      <w:r>
        <w:rPr>
          <w:rFonts w:hint="eastAsia" w:cs="宋体" w:asciiTheme="minorEastAsia" w:hAnsiTheme="minorEastAsia" w:eastAsiaTheme="minorEastAsia"/>
          <w:color w:val="000000" w:themeColor="text1"/>
          <w:sz w:val="28"/>
          <w:szCs w:val="28"/>
        </w:rPr>
        <w:t>教指委会议，通过教师之间的互动探讨以及资深专家的指导，不断地提升我院</w:t>
      </w:r>
      <w:r>
        <w:rPr>
          <w:rFonts w:cs="宋体" w:asciiTheme="minorEastAsia" w:hAnsiTheme="minorEastAsia" w:eastAsiaTheme="minorEastAsia"/>
          <w:color w:val="000000" w:themeColor="text1"/>
          <w:sz w:val="28"/>
          <w:szCs w:val="28"/>
        </w:rPr>
        <w:t>MBA/EMBA</w:t>
      </w:r>
      <w:r>
        <w:rPr>
          <w:rFonts w:hint="eastAsia" w:cs="宋体" w:asciiTheme="minorEastAsia" w:hAnsiTheme="minorEastAsia" w:eastAsiaTheme="minorEastAsia"/>
          <w:color w:val="000000" w:themeColor="text1"/>
          <w:sz w:val="28"/>
          <w:szCs w:val="28"/>
        </w:rPr>
        <w:t>项目的教学质量和水平。</w:t>
      </w:r>
    </w:p>
    <w:p w14:paraId="7316049B">
      <w:pPr>
        <w:pStyle w:val="11"/>
        <w:numPr>
          <w:ilvl w:val="0"/>
          <w:numId w:val="3"/>
        </w:numPr>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课程教学检查</w:t>
      </w:r>
    </w:p>
    <w:p w14:paraId="754A6F18">
      <w:pPr>
        <w:pStyle w:val="11"/>
        <w:spacing w:line="360" w:lineRule="auto"/>
        <w:ind w:firstLine="560"/>
        <w:rPr>
          <w:rFonts w:cs="宋体" w:asciiTheme="minorEastAsia" w:hAnsiTheme="minorEastAsia" w:eastAsiaTheme="minorEastAsia"/>
          <w:color w:val="000000" w:themeColor="text1"/>
          <w:sz w:val="28"/>
          <w:szCs w:val="28"/>
        </w:rPr>
      </w:pPr>
      <w:r>
        <w:rPr>
          <w:rFonts w:hint="eastAsia"/>
          <w:color w:val="000000" w:themeColor="text1"/>
          <w:sz w:val="28"/>
          <w:szCs w:val="28"/>
        </w:rPr>
        <w:t>为落实习</w:t>
      </w:r>
      <w:r>
        <w:rPr>
          <w:rFonts w:hint="eastAsia"/>
          <w:color w:val="000000" w:themeColor="text1"/>
          <w:sz w:val="28"/>
          <w:szCs w:val="28"/>
          <w:lang w:val="en-US" w:eastAsia="zh-CN"/>
        </w:rPr>
        <w:t>近平</w:t>
      </w:r>
      <w:r>
        <w:rPr>
          <w:rFonts w:hint="eastAsia"/>
          <w:color w:val="000000" w:themeColor="text1"/>
          <w:sz w:val="28"/>
          <w:szCs w:val="28"/>
        </w:rPr>
        <w:t>总书记在全国教育大会上的</w:t>
      </w:r>
      <w:r>
        <w:rPr>
          <w:rFonts w:hint="eastAsia"/>
          <w:color w:val="000000" w:themeColor="text1"/>
          <w:sz w:val="28"/>
          <w:szCs w:val="28"/>
          <w:lang w:val="en-US" w:eastAsia="zh-CN"/>
        </w:rPr>
        <w:t>重要</w:t>
      </w:r>
      <w:r>
        <w:rPr>
          <w:rFonts w:hint="eastAsia"/>
          <w:color w:val="000000" w:themeColor="text1"/>
          <w:sz w:val="28"/>
          <w:szCs w:val="28"/>
        </w:rPr>
        <w:t>讲话精神，全面落实从严治学的教育理念，提升研究生课程教学质量，管理学院研究生教学质量督查组、课程教学检查组，</w:t>
      </w:r>
      <w:r>
        <w:rPr>
          <w:rFonts w:hint="eastAsia" w:cs="宋体" w:asciiTheme="minorEastAsia" w:hAnsiTheme="minorEastAsia" w:eastAsiaTheme="minorEastAsia"/>
          <w:color w:val="000000" w:themeColor="text1"/>
          <w:sz w:val="28"/>
          <w:szCs w:val="28"/>
        </w:rPr>
        <w:t>对教学过程中的各环节质量进行监督检查。包括：有计划检查学院研究生课程档案管理情况、不定期抽查课堂纪律及停课调课情况、建立课程教学质量评价体系和奖惩制度。</w:t>
      </w:r>
    </w:p>
    <w:p w14:paraId="7B54BC15">
      <w:pPr>
        <w:pStyle w:val="11"/>
        <w:numPr>
          <w:ilvl w:val="0"/>
          <w:numId w:val="3"/>
        </w:numPr>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认证质量保障</w:t>
      </w:r>
    </w:p>
    <w:p w14:paraId="5F39615E">
      <w:pPr>
        <w:pStyle w:val="11"/>
        <w:spacing w:line="360" w:lineRule="auto"/>
        <w:ind w:firstLine="560"/>
        <w:rPr>
          <w:rFonts w:cs="宋体" w:asciiTheme="minorEastAsia" w:hAnsiTheme="minorEastAsia" w:eastAsiaTheme="minorEastAsia"/>
          <w:color w:val="000000" w:themeColor="text1"/>
          <w:sz w:val="28"/>
          <w:szCs w:val="28"/>
        </w:rPr>
      </w:pPr>
      <w:r>
        <w:rPr>
          <w:rFonts w:hint="eastAsia" w:cs="宋体" w:asciiTheme="minorEastAsia" w:hAnsiTheme="minorEastAsia" w:eastAsiaTheme="minorEastAsia"/>
          <w:color w:val="000000" w:themeColor="text1"/>
          <w:sz w:val="28"/>
          <w:szCs w:val="28"/>
        </w:rPr>
        <w:t>AMBA认证体系与美国国际精英商学院协会(AASCB)、欧洲质量发展认证体系(EQUIS)同为全球商学院三大权威国际认证体系。2011年7月8日，暨南大学管理学院正式通过AMBA国际认证，获得认证的项目包括华商MBA项目(SiMBA)、在职MBA和EMBA。目前正在行进EPASS和AACSB的认证阶段。获得认证被普遍认为是一个商学院迈向国际一流商科学府的重要标志，也是项目发展的质量保障。</w:t>
      </w:r>
    </w:p>
    <w:p w14:paraId="4A6A45D8">
      <w:pPr>
        <w:pStyle w:val="11"/>
        <w:spacing w:line="360" w:lineRule="auto"/>
        <w:ind w:firstLine="560"/>
        <w:rPr>
          <w:rFonts w:cs="宋体" w:asciiTheme="minorEastAsia" w:hAnsiTheme="minorEastAsia" w:eastAsiaTheme="minorEastAsia"/>
          <w:color w:val="000000" w:themeColor="text1"/>
          <w:sz w:val="28"/>
          <w:szCs w:val="28"/>
        </w:rPr>
      </w:pPr>
    </w:p>
    <w:p w14:paraId="01F80AAE">
      <w:pPr>
        <w:pStyle w:val="11"/>
        <w:spacing w:line="360" w:lineRule="auto"/>
        <w:ind w:firstLine="560"/>
        <w:rPr>
          <w:rFonts w:cs="宋体" w:asciiTheme="minorEastAsia" w:hAnsiTheme="minorEastAsia" w:eastAsiaTheme="minorEastAsia"/>
          <w:color w:val="000000" w:themeColor="text1"/>
          <w:sz w:val="28"/>
          <w:szCs w:val="28"/>
        </w:rPr>
      </w:pPr>
    </w:p>
    <w:p w14:paraId="034F6DCB">
      <w:pPr>
        <w:pStyle w:val="11"/>
        <w:spacing w:line="360" w:lineRule="auto"/>
        <w:ind w:firstLine="560"/>
        <w:rPr>
          <w:rFonts w:cs="宋体" w:asciiTheme="minorEastAsia" w:hAnsiTheme="minorEastAsia" w:eastAsiaTheme="minorEastAsia"/>
          <w:color w:val="000000" w:themeColor="text1"/>
          <w:sz w:val="28"/>
          <w:szCs w:val="28"/>
        </w:rPr>
      </w:pPr>
    </w:p>
    <w:p w14:paraId="3CDA7C33">
      <w:pPr>
        <w:pStyle w:val="11"/>
        <w:spacing w:line="360" w:lineRule="auto"/>
        <w:ind w:firstLine="560"/>
        <w:rPr>
          <w:rFonts w:cs="宋体" w:asciiTheme="minorEastAsia" w:hAnsiTheme="minorEastAsia" w:eastAsiaTheme="minorEastAsia"/>
          <w:color w:val="000000" w:themeColor="text1"/>
          <w:sz w:val="28"/>
          <w:szCs w:val="28"/>
        </w:rPr>
      </w:pPr>
    </w:p>
    <w:p w14:paraId="470C80E1">
      <w:pPr>
        <w:pStyle w:val="11"/>
        <w:spacing w:line="360" w:lineRule="auto"/>
        <w:ind w:firstLine="560"/>
        <w:rPr>
          <w:rFonts w:cs="宋体" w:asciiTheme="minorEastAsia" w:hAnsiTheme="minorEastAsia" w:eastAsiaTheme="minorEastAsia"/>
          <w:color w:val="000000" w:themeColor="text1"/>
          <w:sz w:val="28"/>
          <w:szCs w:val="28"/>
        </w:rPr>
      </w:pPr>
    </w:p>
    <w:p w14:paraId="40F8CD71">
      <w:pPr>
        <w:autoSpaceDE w:val="0"/>
        <w:autoSpaceDN w:val="0"/>
        <w:adjustRightInd w:val="0"/>
        <w:spacing w:line="360" w:lineRule="auto"/>
        <w:rPr>
          <w:rFonts w:asciiTheme="minorEastAsia" w:hAnsiTheme="minorEastAsia" w:eastAsiaTheme="minorEastAsia"/>
          <w:b/>
          <w:bCs/>
          <w:color w:val="000000" w:themeColor="text1"/>
          <w:sz w:val="28"/>
          <w:szCs w:val="28"/>
        </w:rPr>
      </w:pPr>
      <w:r>
        <w:rPr>
          <w:rFonts w:hint="eastAsia" w:asciiTheme="minorEastAsia" w:hAnsiTheme="minorEastAsia" w:eastAsiaTheme="minorEastAsia"/>
          <w:b/>
          <w:bCs/>
          <w:color w:val="000000" w:themeColor="text1"/>
          <w:sz w:val="28"/>
          <w:szCs w:val="28"/>
        </w:rPr>
        <w:t>8.4论文质量保证体系</w:t>
      </w:r>
    </w:p>
    <w:p w14:paraId="6237F5C1">
      <w:pPr>
        <w:pStyle w:val="11"/>
        <w:spacing w:line="360" w:lineRule="auto"/>
        <w:ind w:firstLine="0" w:firstLineChars="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pict>
          <v:group id="_x0000_s2200" o:spid="_x0000_s2200" o:spt="203" style="height:213pt;width:451.8pt;" coordorigin="3136,12410" coordsize="7827,3691" editas="canvas">
            <o:lock v:ext="edit"/>
            <v:shape id="_x0000_s2201" o:spid="_x0000_s2201" o:spt="75" type="#_x0000_t75" style="position:absolute;left:3136;top:12410;height:3691;width:7827;" filled="f" o:preferrelative="f" stroked="f" coordsize="21600,21600">
              <v:path/>
              <v:fill on="f" focussize="0,0"/>
              <v:stroke on="f" joinstyle="miter"/>
              <v:imagedata o:title=""/>
              <o:lock v:ext="edit" text="t" aspectratio="t"/>
            </v:shape>
            <v:group id="_x0000_s2202" o:spid="_x0000_s2202" o:spt="203" style="position:absolute;left:3136;top:12410;height:3691;width:7754;" coordorigin="838,2070" coordsize="56845,27057">
              <o:lock v:ext="edit"/>
              <v:roundrect id="AutoShape 5" o:spid="_x0000_s2203" o:spt="2" style="position:absolute;left:20789;top:2070;height:3117;width:17895;" fillcolor="#70AD47" filled="f" stroked="t"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F7z8UA&#10;AADbAAAADwAAAGRycy9kb3ducmV2LnhtbESPQWvCQBSE7wX/w/KEXoru1oJI6ioqLe0tNbEHb4/s&#10;Mwlm34bsatL++m5B8DjMzDfMcj3YRlyp87VjDc9TBYK4cKbmUsMhf58sQPiAbLBxTBp+yMN6NXpY&#10;YmJcz3u6ZqEUEcI+QQ1VCG0ipS8qsuinriWO3sl1FkOUXSlNh32E20bOlJpLizXHhQpb2lVUnLOL&#10;1XA8/sr862379I3pR1lfNoeZSpXWj+Nh8woi0BDu4Vv702hYvMD/l/gD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XvPxQAAANsAAAAPAAAAAAAAAAAAAAAAAJgCAABkcnMv&#10;ZG93bnJldi54bWxQSwUGAAAAAAQABAD1AAAAigMAAAAA&#10;">
                <v:path/>
                <v:fill on="f" focussize="0,0"/>
                <v:stroke color="#000000"/>
                <v:imagedata o:title=""/>
                <o:lock v:ext="edit"/>
                <v:shadow on="t" color="#375623" opacity="32768f" offset="1pt,2pt"/>
                <v:textbox>
                  <w:txbxContent>
                    <w:p w14:paraId="5307476D">
                      <w:pPr>
                        <w:jc w:val="center"/>
                        <w:rPr>
                          <w:color w:val="000000" w:themeColor="text1"/>
                        </w:rPr>
                      </w:pPr>
                      <w:r>
                        <w:rPr>
                          <w:rFonts w:hint="eastAsia"/>
                          <w:color w:val="000000" w:themeColor="text1"/>
                        </w:rPr>
                        <w:t>论文质量保证体系</w:t>
                      </w:r>
                    </w:p>
                  </w:txbxContent>
                </v:textbox>
              </v:roundrect>
              <v:shape id="Oval 6" o:spid="_x0000_s2204" o:spt="3" type="#_x0000_t3" style="position:absolute;left:20281;top:17506;height:8128;width:20073;" fillcolor="#5B9BD5"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dIQscA&#10;AADbAAAADwAAAGRycy9kb3ducmV2LnhtbESPX2vCQBDE3wv9DscWfCl6qZQSo6dUoVj6UPAPgm9r&#10;bpuk5vbS3Fbjt+8VBB+HmfkNM5l1rlYnakPl2cDTIAFFnHtbcWFgu3nrp6CCIFusPZOBCwWYTe/v&#10;JphZf+YVndZSqAjhkKGBUqTJtA55SQ7DwDfE0fvyrUOJsi20bfEc4a7WwyR50Q4rjgslNrQoKT+u&#10;f50BGS0Pj/PP+c/mKOlouUsv+++PhTG9h+51DEqok1v42n63BtJn+P8Sf4Ce/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3SELHAAAA2wAAAA8AAAAAAAAAAAAAAAAAmAIAAGRy&#10;cy9kb3ducmV2LnhtbFBLBQYAAAAABAAEAPUAAACMAwAAAAA=&#10;">
                <v:path/>
                <v:fill on="f" focussize="0,0"/>
                <v:stroke color="#000000"/>
                <v:imagedata o:title=""/>
                <o:lock v:ext="edit"/>
                <v:shadow on="t" color="#1F4D78" opacity="32768f" offset="1pt,2pt"/>
                <v:textbox>
                  <w:txbxContent>
                    <w:p w14:paraId="251E0815"/>
                    <w:p w14:paraId="59C4675C">
                      <w:pPr>
                        <w:jc w:val="center"/>
                        <w:rPr>
                          <w:color w:val="000000" w:themeColor="text1"/>
                        </w:rPr>
                      </w:pPr>
                      <w:r>
                        <w:rPr>
                          <w:rFonts w:hint="eastAsia"/>
                          <w:color w:val="000000" w:themeColor="text1"/>
                        </w:rPr>
                        <w:t>论文质量监控</w:t>
                      </w:r>
                    </w:p>
                  </w:txbxContent>
                </v:textbox>
              </v:shape>
              <v:rect id="Rectangle 7" o:spid="_x0000_s2205" o:spt="1" style="position:absolute;left:4343;top:9067;height:2724;width:15938;"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path/>
                <v:fill focussize="0,0"/>
                <v:stroke/>
                <v:imagedata o:title=""/>
                <o:lock v:ext="edit"/>
                <v:textbox>
                  <w:txbxContent>
                    <w:p w14:paraId="3D9A8928">
                      <w:pPr>
                        <w:jc w:val="center"/>
                      </w:pPr>
                      <w:r>
                        <w:rPr>
                          <w:rFonts w:hint="eastAsia"/>
                        </w:rPr>
                        <w:t>学校学位评定委员会</w:t>
                      </w:r>
                    </w:p>
                  </w:txbxContent>
                </v:textbox>
              </v:rect>
              <v:rect id="Rectangle 8" o:spid="_x0000_s2206" o:spt="1" style="position:absolute;left:22371;top:9067;height:2724;width:1478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path/>
                <v:fill focussize="0,0"/>
                <v:stroke/>
                <v:imagedata o:title=""/>
                <o:lock v:ext="edit"/>
                <v:textbox>
                  <w:txbxContent>
                    <w:p w14:paraId="6B07A9B9">
                      <w:r>
                        <w:rPr>
                          <w:rFonts w:hint="eastAsia"/>
                        </w:rPr>
                        <w:t>学院学位评定委员会</w:t>
                      </w:r>
                    </w:p>
                  </w:txbxContent>
                </v:textbox>
              </v:rect>
              <v:rect id="Rectangle 9" o:spid="_x0000_s2207" o:spt="1" style="position:absolute;left:41236;top:9074;height:2724;width:1295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path/>
                <v:fill focussize="0,0"/>
                <v:stroke/>
                <v:imagedata o:title=""/>
                <o:lock v:ext="edit"/>
                <v:textbox>
                  <w:txbxContent>
                    <w:p w14:paraId="03317B29">
                      <w:pPr>
                        <w:jc w:val="center"/>
                      </w:pPr>
                      <w:r>
                        <w:rPr>
                          <w:rFonts w:hint="eastAsia"/>
                        </w:rPr>
                        <w:t>学院学术委员会</w:t>
                      </w:r>
                    </w:p>
                  </w:txbxContent>
                </v:textbox>
              </v:rect>
              <v:shape id="AutoShape 10" o:spid="_x0000_s2208" o:spt="34" type="#_x0000_t34" style="position:absolute;left:30009;top:-8630;flip:y;height:35401;width:7;rotation:-5898240f;" o:connectortype="elbow"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LfwsQAAADbAAAADwAAAGRycy9kb3ducmV2LnhtbESPwW7CMAyG75P2DpEncRvpdkBVR0AI&#10;rdJ2mmBw4OY1pi00TpWkpbz9fJi0o/X7/+xvuZ5cp0YKsfVs4GWegSKuvG25NnD4Lp9zUDEhW+w8&#10;k4E7RVivHh+WWFh/4x2N+1QrgXAs0ECTUl9oHauGHMa574klO/vgMMkYam0D3gTuOv2aZQvtsGW5&#10;0GBP24aq635wQsmHcIhjWZ3y4fJzPNL1s/x6N2b2NG3eQCWa0v/yX/vDGsjlWXERD9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Qt/CxAAAANsAAAAPAAAAAAAAAAAA&#10;AAAAAKECAABkcnMvZG93bnJldi54bWxQSwUGAAAAAAQABAD5AAAAkgMAAAAA&#10;" adj="-7776000">
                <v:path arrowok="t"/>
                <v:fill on="f" focussize="0,0"/>
                <v:stroke joinstyle="miter"/>
                <v:imagedata o:title=""/>
                <o:lock v:ext="edit"/>
              </v:shape>
              <v:shape id="AutoShape 11" o:spid="_x0000_s2209" o:spt="32" type="#_x0000_t32" style="position:absolute;left:29737;top:5187;height:3880;width:31;"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2p8QAAADbAAAADwAAAGRycy9kb3ducmV2LnhtbESPQWsCMRSE74L/ITzBi9SsgsVujbIV&#10;BBU8aNv76+Z1E7p52W6irv/eFIQeh5n5hlmsOleLC7XBelYwGWcgiEuvLVcKPt43T3MQISJrrD2T&#10;ghsFWC37vQXm2l/5SJdTrESCcMhRgYmxyaUMpSGHYewb4uR9+9ZhTLKtpG7xmuCultMse5YOLacF&#10;gw2tDZU/p7NTcNhN3oovY3f74689zDZFfa5Gn0oNB13xCiJSF//Dj/ZWK5i/wN+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banxAAAANsAAAAPAAAAAAAAAAAA&#10;AAAAAKECAABkcnMvZG93bnJldi54bWxQSwUGAAAAAAQABAD5AAAAkgMAAAAA&#10;">
                <v:path arrowok="t"/>
                <v:fill on="f" focussize="0,0"/>
                <v:stroke/>
                <v:imagedata o:title=""/>
                <o:lock v:ext="edit"/>
              </v:shape>
              <v:shape id="AutoShape 12" o:spid="_x0000_s2210" o:spt="70" type="#_x0000_t70" style="position:absolute;left:28022;top:12871;height:3619;width:407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DPrMUA&#10;AADbAAAADwAAAGRycy9kb3ducmV2LnhtbESPwWoCQQyG74W+w5CCtzproaJbR1GhULQVtaW9hp10&#10;d3Uns+yMOn375iB4DH/+L18ms+QadaYu1J4NDPoZKOLC25pLA1+fr48jUCEiW2w8k4E/CjCb3t9N&#10;MLf+wjs672OpBMIhRwNVjG2udSgqchj6viWW7Nd3DqOMXalthxeBu0Y/ZdlQO6xZLlTY0rKi4rg/&#10;OdFY2/H8fbDehG363j2Xh7T6+FkY03tI8xdQkVK8LV/bb9bAWOzlFwGAn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sM+sxQAAANsAAAAPAAAAAAAAAAAAAAAAAJgCAABkcnMv&#10;ZG93bnJldi54bWxQSwUGAAAAAAQABAD1AAAAigMAAAAA&#10;">
                <v:path/>
                <v:fill focussize="0,0"/>
                <v:stroke joinstyle="miter"/>
                <v:imagedata o:title=""/>
                <o:lock v:ext="edit"/>
                <v:textbox style="layout-flow:vertical-ideographic;"/>
              </v:shape>
              <v:rect id="Rectangle 13" o:spid="_x0000_s2211" o:spt="1" style="position:absolute;left:1219;top:14522;height:2857;width:12776;"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path/>
                <v:fill focussize="0,0"/>
                <v:stroke/>
                <v:imagedata o:title=""/>
                <o:lock v:ext="edit"/>
                <v:textbox>
                  <w:txbxContent>
                    <w:p w14:paraId="3258034E">
                      <w:pPr>
                        <w:jc w:val="center"/>
                      </w:pPr>
                      <w:r>
                        <w:rPr>
                          <w:rFonts w:hint="eastAsia"/>
                        </w:rPr>
                        <w:t>论文导师管理</w:t>
                      </w:r>
                    </w:p>
                  </w:txbxContent>
                </v:textbox>
              </v:rect>
              <v:rect id="Rectangle 14" o:spid="_x0000_s2212" o:spt="1" style="position:absolute;left:1066;top:20237;height:2857;width:1292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path/>
                <v:fill focussize="0,0"/>
                <v:stroke/>
                <v:imagedata o:title=""/>
                <o:lock v:ext="edit"/>
                <v:textbox>
                  <w:txbxContent>
                    <w:p w14:paraId="3A32A231">
                      <w:pPr>
                        <w:jc w:val="center"/>
                      </w:pPr>
                      <w:r>
                        <w:rPr>
                          <w:rFonts w:hint="eastAsia"/>
                        </w:rPr>
                        <w:t>论文讲座</w:t>
                      </w:r>
                    </w:p>
                  </w:txbxContent>
                </v:textbox>
              </v:rect>
              <v:rect id="Rectangle 15" o:spid="_x0000_s2213" o:spt="1" style="position:absolute;left:838;top:26269;height:2858;width:13157;"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path/>
                <v:fill focussize="0,0"/>
                <v:stroke/>
                <v:imagedata o:title=""/>
                <o:lock v:ext="edit"/>
                <v:textbox>
                  <w:txbxContent>
                    <w:p w14:paraId="6FF45FC2">
                      <w:pPr>
                        <w:jc w:val="center"/>
                      </w:pPr>
                      <w:r>
                        <w:rPr>
                          <w:rFonts w:hint="eastAsia"/>
                        </w:rPr>
                        <w:t>论文</w:t>
                      </w:r>
                      <w:r>
                        <w:t>预查重与查重</w:t>
                      </w:r>
                    </w:p>
                  </w:txbxContent>
                </v:textbox>
              </v:rect>
              <v:rect id="Rectangle 16" o:spid="_x0000_s2214" o:spt="1" style="position:absolute;left:44729;top:14458;height:2858;width:1295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path/>
                <v:fill focussize="0,0"/>
                <v:stroke/>
                <v:imagedata o:title=""/>
                <o:lock v:ext="edit"/>
                <v:textbox>
                  <w:txbxContent>
                    <w:p w14:paraId="12810D63">
                      <w:pPr>
                        <w:jc w:val="center"/>
                      </w:pPr>
                      <w:r>
                        <w:rPr>
                          <w:rFonts w:hint="eastAsia"/>
                        </w:rPr>
                        <w:t>论文盲审</w:t>
                      </w:r>
                    </w:p>
                  </w:txbxContent>
                </v:textbox>
              </v:rect>
              <v:rect id="Rectangle 17" o:spid="_x0000_s2215" o:spt="1" style="position:absolute;left:44729;top:20173;height:2858;width:1295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path/>
                <v:fill focussize="0,0"/>
                <v:stroke/>
                <v:imagedata o:title=""/>
                <o:lock v:ext="edit"/>
                <v:textbox>
                  <w:txbxContent>
                    <w:p w14:paraId="4CEDC3EF">
                      <w:pPr>
                        <w:jc w:val="center"/>
                      </w:pPr>
                      <w:r>
                        <w:rPr>
                          <w:rFonts w:hint="eastAsia"/>
                        </w:rPr>
                        <w:t>论文预答辩与答辩</w:t>
                      </w:r>
                    </w:p>
                    <w:p w14:paraId="65B5179B"/>
                  </w:txbxContent>
                </v:textbox>
              </v:rect>
              <v:rect id="Rectangle 18" o:spid="_x0000_s2216" o:spt="1" style="position:absolute;left:45110;top:26206;height:2857;width:12497;"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path/>
                <v:fill focussize="0,0"/>
                <v:stroke/>
                <v:imagedata o:title=""/>
                <o:lock v:ext="edit"/>
                <v:textbox>
                  <w:txbxContent>
                    <w:p w14:paraId="6D9A2BFA">
                      <w:pPr>
                        <w:jc w:val="center"/>
                      </w:pPr>
                      <w:r>
                        <w:rPr>
                          <w:rFonts w:hint="eastAsia"/>
                        </w:rPr>
                        <w:t>论文末位监控</w:t>
                      </w:r>
                    </w:p>
                  </w:txbxContent>
                </v:textbox>
              </v:rect>
              <v:shape id="AutoShape 19" o:spid="_x0000_s2217" o:spt="33" type="#_x0000_t33" style="position:absolute;left:13995;top:15951;height:11747;width:3810;" o:connectortype="elbow"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XhsYAAADbAAAADwAAAGRycy9kb3ducmV2LnhtbESPzWrDMBCE74G8g9hAb4mcHNLWtRJC&#10;oCWHFvJHSW9ba22ZWCtjyY779lWg0OMwM98w2Xqwteip9ZVjBfNZAoI4d7riUsH59Dp9AuEDssba&#10;MSn4IQ/r1XiUYardjQ/UH0MpIoR9igpMCE0qpc8NWfQz1xBHr3CtxRBlW0rd4i3CbS0XSbKUFiuO&#10;CwYb2hrKr8fOKsgvn517Py16V52/uo/iYvbfbwelHibD5gVEoCH8h//aO63g+RHuX+IPk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F4bGAAAA2wAAAA8AAAAAAAAA&#10;AAAAAAAAoQIAAGRycy9kb3ducmV2LnhtbFBLBQYAAAAABAAEAPkAAACUAwAAAAA=&#10;">
                <v:path arrowok="t"/>
                <v:fill on="f" focussize="0,0"/>
                <v:stroke joinstyle="miter"/>
                <v:imagedata o:title=""/>
                <o:lock v:ext="edit"/>
              </v:shape>
              <v:shape id="AutoShape 20" o:spid="_x0000_s2218" o:spt="32" type="#_x0000_t32" style="position:absolute;left:13995;top:27698;height:7;width:381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yF4cEAAADbAAAADwAAAGRycy9kb3ducmV2LnhtbERPTWsCMRC9C/0PYQpeRLMKFrs1yioI&#10;WvCg1vt0M92EbibrJur675tDwePjfc+XnavFjdpgPSsYjzIQxKXXlisFX6fNcAYiRGSNtWdS8KAA&#10;y8VLb4659nc+0O0YK5FCOOSowMTY5FKG0pDDMPINceJ+fOswJthWUrd4T+GulpMse5MOLacGgw2t&#10;DZW/x6tTsN+NV8W3sbvPw8Xup5uivlaDs1L91674ABGpi0/xv3urFbyn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rIXhwQAAANsAAAAPAAAAAAAAAAAAAAAA&#10;AKECAABkcnMvZG93bnJldi54bWxQSwUGAAAAAAQABAD5AAAAjwMAAAAA&#10;">
                <v:path arrowok="t"/>
                <v:fill on="f" focussize="0,0"/>
                <v:stroke/>
                <v:imagedata o:title=""/>
                <o:lock v:ext="edit"/>
              </v:shape>
              <v:shape id="AutoShape 21" o:spid="_x0000_s2219" o:spt="34" type="#_x0000_t34" style="position:absolute;left:44729;top:15887;flip:x y;height:11748;width:381;rotation:11796480f;" o:connectortype="elbow"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MIVsUAAADbAAAADwAAAGRycy9kb3ducmV2LnhtbESPQWvCQBSE7wX/w/KE3uomQUqNrkEK&#10;SvFQaCx4fWSfSTT7dpvdaOyv7xYKPQ4z8w2zKkbTiSv1vrWsIJ0lIIgrq1uuFXwetk8vIHxA1thZ&#10;JgV38lCsJw8rzLW98Qddy1CLCGGfo4ImBJdL6auGDPqZdcTRO9neYIiyr6Xu8RbhppNZkjxLgy3H&#10;hQYdvTZUXcrBKNgd3aC/3r9DeZif09PFWJft50o9TsfNEkSgMfyH/9pvWsFiAb9f4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MIVsUAAADbAAAADwAAAAAAAAAA&#10;AAAAAAChAgAAZHJzL2Rvd25yZXYueG1sUEsFBgAAAAAEAAQA+QAAAJMDAAAAAA==&#10;" adj="-129600">
                <v:path arrowok="t"/>
                <v:fill on="f" focussize="0,0"/>
                <v:stroke joinstyle="miter"/>
                <v:imagedata o:title=""/>
                <o:lock v:ext="edit"/>
              </v:shape>
              <v:shape id="AutoShape 22" o:spid="_x0000_s2220" o:spt="32" type="#_x0000_t32" style="position:absolute;left:13995;top:21570;flip:y;height:96;width:6286;"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5l18MAAADcAAAADwAAAGRycy9kb3ducmV2LnhtbESPQWsCMRCF7wX/QxjBW80qWMrWKFUQ&#10;pBepFfQ4bKa7oZvJskk36793DoXeZnhv3vtmvR19qwbqowtsYDEvQBFXwTquDVy+Ds+voGJCttgG&#10;JgN3irDdTJ7WWNqQ+ZOGc6qVhHAs0UCTUldqHauGPMZ56IhF+w69xyRrX2vbY5Zw3+plUbxoj46l&#10;ocGO9g1VP+dfb8Dlkxu64z7vPq63aDO5+yo4Y2bT8f0NVKIx/Zv/ro9W8AvBl2dkAr1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uZdfDAAAA3AAAAA8AAAAAAAAAAAAA&#10;AAAAoQIAAGRycy9kb3ducmV2LnhtbFBLBQYAAAAABAAEAPkAAACRAwAAAAA=&#10;">
                <v:path arrowok="t"/>
                <v:fill on="f" focussize="0,0"/>
                <v:stroke endarrow="block"/>
                <v:imagedata o:title=""/>
                <o:lock v:ext="edit"/>
              </v:shape>
              <v:shape id="AutoShape 23" o:spid="_x0000_s2221" o:spt="32" type="#_x0000_t32" style="position:absolute;left:40354;top:21570;flip:x y;height:32;width:4375;"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na/MIAAADcAAAADwAAAGRycy9kb3ducmV2LnhtbERPS2vDMAy+F/ofjAq7tU5DKFtWJ4yW&#10;wSi79HHYUcSaExbLIdba7N/PhcFu+vie2taT79WVxtgFNrBeZaCIm2A7dgYu59flI6goyBb7wGTg&#10;hyLU1Xy2xdKGGx/pehKnUgjHEg20IkOpdWxa8hhXYSBO3GcYPUqCo9N2xFsK973Os2yjPXacGloc&#10;aNdS83X69gY+Lv79KS/23hXuLEehQ5cXG2MeFtPLMyihSf7Ff+43m+Zna7g/ky7Q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Gna/MIAAADcAAAADwAAAAAAAAAAAAAA&#10;AAChAgAAZHJzL2Rvd25yZXYueG1sUEsFBgAAAAAEAAQA+QAAAJADAAAAAA==&#10;">
                <v:path arrowok="t"/>
                <v:fill on="f" focussize="0,0"/>
                <v:stroke endarrow="block"/>
                <v:imagedata o:title=""/>
                <o:lock v:ext="edit"/>
              </v:shape>
            </v:group>
            <w10:wrap type="none"/>
            <w10:anchorlock/>
          </v:group>
        </w:pict>
      </w:r>
    </w:p>
    <w:p w14:paraId="629F9A91">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1</w:t>
      </w:r>
      <w:r>
        <w:rPr>
          <w:rFonts w:cs="宋体" w:asciiTheme="minorEastAsia" w:hAnsiTheme="minorEastAsia" w:eastAsiaTheme="minorEastAsia"/>
          <w:color w:val="000000" w:themeColor="text1"/>
          <w:kern w:val="0"/>
          <w:sz w:val="28"/>
          <w:szCs w:val="28"/>
          <w:lang w:val="zh-CN"/>
        </w:rPr>
        <w:t>）导师管理</w:t>
      </w:r>
    </w:p>
    <w:p w14:paraId="0CAD764F">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论文导师是学位论文质量的重要保证。</w:t>
      </w:r>
      <w:r>
        <w:rPr>
          <w:rFonts w:cs="宋体" w:asciiTheme="minorEastAsia" w:hAnsiTheme="minorEastAsia" w:eastAsiaTheme="minorEastAsia"/>
          <w:color w:val="000000" w:themeColor="text1"/>
          <w:kern w:val="0"/>
          <w:sz w:val="28"/>
          <w:szCs w:val="28"/>
          <w:lang w:val="zh-CN"/>
        </w:rPr>
        <w:t>根据《暨南大学研究生指导教师遴选与认定办法》，</w:t>
      </w:r>
      <w:r>
        <w:rPr>
          <w:rFonts w:hint="eastAsia" w:cs="宋体" w:asciiTheme="minorEastAsia" w:hAnsiTheme="minorEastAsia" w:eastAsiaTheme="minorEastAsia"/>
          <w:color w:val="000000" w:themeColor="text1"/>
          <w:kern w:val="0"/>
          <w:sz w:val="28"/>
          <w:szCs w:val="28"/>
          <w:lang w:val="zh-CN"/>
        </w:rPr>
        <w:t>MBA/EMBA论文导师由学校研究生院学位办统一进行遴选，并要求每位导师原则上不能在超过两</w:t>
      </w:r>
      <w:r>
        <w:rPr>
          <w:rFonts w:cs="宋体" w:asciiTheme="minorEastAsia" w:hAnsiTheme="minorEastAsia" w:eastAsiaTheme="minorEastAsia"/>
          <w:color w:val="000000" w:themeColor="text1"/>
          <w:kern w:val="0"/>
          <w:sz w:val="28"/>
          <w:szCs w:val="28"/>
          <w:lang w:val="zh-CN"/>
        </w:rPr>
        <w:t>种专业学位类别申请研究生的指导教师，且</w:t>
      </w:r>
      <w:r>
        <w:rPr>
          <w:rFonts w:hint="eastAsia" w:cs="宋体" w:asciiTheme="minorEastAsia" w:hAnsiTheme="minorEastAsia" w:eastAsiaTheme="minorEastAsia"/>
          <w:color w:val="000000" w:themeColor="text1"/>
          <w:kern w:val="0"/>
          <w:sz w:val="28"/>
          <w:szCs w:val="28"/>
          <w:lang w:val="zh-CN"/>
        </w:rPr>
        <w:t>所带同一专业的学生不能超过10人，保证导师有足够的时间和精力对学生的论文进行指导。同时，中心根据学院要求，设立导师淘汰制度：具有MBA/EMBA 导师资格的教师所指导的学生论文被广东省学位办论文抽检不及格的，将被暂停导师资格，恢复导师资格需要重新申请。中心定期举行论文导师交流会，鼓励新旧导师参加学校和学院组织的导师培训，促进导师之间的学习交流。</w:t>
      </w:r>
    </w:p>
    <w:p w14:paraId="23F19C32">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2</w:t>
      </w:r>
      <w:r>
        <w:rPr>
          <w:rFonts w:cs="宋体" w:asciiTheme="minorEastAsia" w:hAnsiTheme="minorEastAsia" w:eastAsiaTheme="minorEastAsia"/>
          <w:color w:val="000000" w:themeColor="text1"/>
          <w:kern w:val="0"/>
          <w:sz w:val="28"/>
          <w:szCs w:val="28"/>
          <w:lang w:val="zh-CN"/>
        </w:rPr>
        <w:t>）学位论文过程管理</w:t>
      </w:r>
    </w:p>
    <w:p w14:paraId="0131BF3D">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MBA/EMBA 教育中心对学位论文实行统一管理，统一制定了MBA/EMBA学位论文的基本要求，对论文的选题、内容、格式、研究方法、与实际结合程度等都有具体规定。每一季度的论文上交截止时间、论文评阅和答辩时间，均由中心提前网上公布，无重大原因，一律不做更改。</w:t>
      </w:r>
    </w:p>
    <w:p w14:paraId="407B5CD2">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位论文必须通过学校研究生院的查重，严禁任何学术不端行为。通过预答辩的论文由中心统一组织评阅，评阅采取双盲原则，以确保评审意见的客观性。盲审通过以后由中心统一组织答辩，答辩委员会成员由中心统一聘请，导师均不参加自己学生的答辩，以确保答辩结果的公正性。</w:t>
      </w:r>
    </w:p>
    <w:p w14:paraId="007D52E5">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为了加强论文的修改，答辩人在答辩前应根据评阅专家意见，提交《暨南大学学位论文评阅意见修改说明》。答辩结束后，答辩人需根据答辩委员会给出的修改意见认证修改论文，并提交《暨南大学学位论文答辩意见修改说明》，</w:t>
      </w:r>
      <w:r>
        <w:rPr>
          <w:rFonts w:hint="eastAsia" w:cs="宋体" w:asciiTheme="minorEastAsia" w:hAnsiTheme="minorEastAsia" w:eastAsiaTheme="minorEastAsia"/>
          <w:color w:val="000000" w:themeColor="text1"/>
          <w:kern w:val="0"/>
          <w:sz w:val="28"/>
          <w:szCs w:val="28"/>
          <w:lang w:val="zh-CN"/>
        </w:rPr>
        <w:t>由导师签字后，连同学位论文正式终稿、答辩记录交学院存档。</w:t>
      </w:r>
    </w:p>
    <w:p w14:paraId="023BC01C">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3</w:t>
      </w:r>
      <w:r>
        <w:rPr>
          <w:rFonts w:cs="宋体" w:asciiTheme="minorEastAsia" w:hAnsiTheme="minorEastAsia" w:eastAsiaTheme="minorEastAsia"/>
          <w:color w:val="000000" w:themeColor="text1"/>
          <w:kern w:val="0"/>
          <w:sz w:val="28"/>
          <w:szCs w:val="28"/>
          <w:lang w:val="zh-CN"/>
        </w:rPr>
        <w:t>）学位论文末位监控制度</w:t>
      </w:r>
    </w:p>
    <w:p w14:paraId="29E9133A">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自2016年夏季学位申请工作起，中心全面实行学位论文末位监控工作。</w:t>
      </w:r>
    </w:p>
    <w:p w14:paraId="3B65B5E5">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a.以答辩组为单位，对参加答辩的学位论文进行排序，每组答辩成绩排在后20%的学位论文（可大于20%，论文篇数四舍五入取整，并且不小于1），提交本学位点专家组评审；</w:t>
      </w:r>
    </w:p>
    <w:p w14:paraId="272722D6">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b.由中心组织评审专家组，对答辩组提交送检论文进行质量评审，给出论文修改意见，经审议认为“存在问题”的论文，提交管理学分委会进行复议。专家组由本学科推荐5-7名副高以上职称专家组成，并执行相应的导师回避政策；</w:t>
      </w:r>
    </w:p>
    <w:p w14:paraId="41709DF2">
      <w:pPr>
        <w:pStyle w:val="11"/>
        <w:spacing w:line="360" w:lineRule="auto"/>
        <w:ind w:firstLine="56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c.管理学学位评定分委员会组织3-5名委员对各学科提交论文进行审议，并将评审意见反馈到会，经无记名投票表决，决定是否建议授予学位，并报校学位评定委员会表决。末位监控未通过者，须修改论文，三个月后重新申请论文答辩。</w:t>
      </w:r>
    </w:p>
    <w:p w14:paraId="63919FF6">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p>
    <w:p w14:paraId="5A7A9312">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Times New Roman" w:asciiTheme="minorEastAsia" w:hAnsiTheme="minorEastAsia" w:eastAsiaTheme="minorEastAsia"/>
          <w:b/>
          <w:bCs/>
          <w:color w:val="000000" w:themeColor="text1"/>
          <w:kern w:val="0"/>
          <w:sz w:val="28"/>
          <w:szCs w:val="28"/>
        </w:rPr>
        <w:t>9</w:t>
      </w:r>
      <w:r>
        <w:rPr>
          <w:rFonts w:cs="Times New Roman"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学风建设</w:t>
      </w:r>
    </w:p>
    <w:p w14:paraId="46A680FB">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“忠信笃敬、知行合一、自强不息、和而不同”为暨南精神。在暨南精神的引领下，暨南大学一直都有着积极向上的学风。为加强</w:t>
      </w:r>
      <w:r>
        <w:rPr>
          <w:rFonts w:hint="eastAsia" w:cs="宋体" w:asciiTheme="minorEastAsia" w:hAnsiTheme="minorEastAsia" w:eastAsiaTheme="minorEastAsia"/>
          <w:color w:val="000000" w:themeColor="text1"/>
          <w:kern w:val="0"/>
          <w:sz w:val="28"/>
          <w:szCs w:val="28"/>
        </w:rPr>
        <w:t>MBA/EMBA学生的学风建设，</w:t>
      </w:r>
      <w:r>
        <w:rPr>
          <w:rFonts w:hint="eastAsia" w:cs="宋体" w:asciiTheme="minorEastAsia" w:hAnsiTheme="minorEastAsia" w:eastAsiaTheme="minorEastAsia"/>
          <w:color w:val="000000" w:themeColor="text1"/>
          <w:kern w:val="0"/>
          <w:sz w:val="28"/>
          <w:szCs w:val="28"/>
          <w:lang w:val="zh-CN"/>
        </w:rPr>
        <w:t>学术道德和学术规范，杜绝学术不端行为，提高学位论文质量，中心组织学生认真学习《暨南大学关于研究生学位论文学术不端行为预防及处理暂行办法》，端正学生的学习态度，加强对学生学术道德和学术规范的教育，提高自律意识，加强学位论文审核，实时跟进教学与论文情况，遏制不正之风，杜绝不端行为。</w:t>
      </w:r>
    </w:p>
    <w:p w14:paraId="783FECFD">
      <w:pPr>
        <w:autoSpaceDE w:val="0"/>
        <w:autoSpaceDN w:val="0"/>
        <w:adjustRightInd w:val="0"/>
        <w:spacing w:after="200"/>
        <w:rPr>
          <w:rFonts w:cs="Times New Roman" w:asciiTheme="minorEastAsia" w:hAnsiTheme="minorEastAsia" w:eastAsiaTheme="minorEastAsia"/>
          <w:color w:val="000000" w:themeColor="text1"/>
          <w:kern w:val="0"/>
          <w:sz w:val="28"/>
          <w:szCs w:val="28"/>
          <w:lang w:val="zh-CN"/>
        </w:rPr>
      </w:pPr>
    </w:p>
    <w:p w14:paraId="4036ADA6">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hint="eastAsia" w:cs="Times New Roman" w:asciiTheme="minorEastAsia" w:hAnsiTheme="minorEastAsia" w:eastAsiaTheme="minorEastAsia"/>
          <w:b/>
          <w:bCs/>
          <w:color w:val="000000" w:themeColor="text1"/>
          <w:kern w:val="0"/>
          <w:sz w:val="28"/>
          <w:szCs w:val="28"/>
        </w:rPr>
        <w:t>10</w:t>
      </w:r>
      <w:r>
        <w:rPr>
          <w:rFonts w:cs="Times New Roman"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管理服务</w:t>
      </w:r>
    </w:p>
    <w:p w14:paraId="3B29C1E4">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rPr>
        <w:t>（</w:t>
      </w:r>
      <w:r>
        <w:rPr>
          <w:rFonts w:cs="Times New Roman" w:asciiTheme="minorEastAsia" w:hAnsiTheme="minorEastAsia" w:eastAsiaTheme="minorEastAsia"/>
          <w:b/>
          <w:bCs/>
          <w:color w:val="000000" w:themeColor="text1"/>
          <w:kern w:val="0"/>
          <w:sz w:val="28"/>
          <w:szCs w:val="28"/>
        </w:rPr>
        <w:t>1</w:t>
      </w:r>
      <w:r>
        <w:rPr>
          <w:rFonts w:hint="eastAsia" w:cs="宋体"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管理机构健全，人员配备齐全</w:t>
      </w:r>
    </w:p>
    <w:p w14:paraId="12FCF11F">
      <w:pPr>
        <w:autoSpaceDE w:val="0"/>
        <w:autoSpaceDN w:val="0"/>
        <w:adjustRightInd w:val="0"/>
        <w:spacing w:line="360" w:lineRule="auto"/>
        <w:ind w:firstLine="48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我校研究生院设立专业学位办公室，与科学学位分开管理，负责专业学位的指导工作。管理学院成立了</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教育中心，负责项目的运营工作。</w:t>
      </w:r>
    </w:p>
    <w:p w14:paraId="6A613BDC">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2</w:t>
      </w:r>
      <w:r>
        <w:rPr>
          <w:rFonts w:hint="eastAsia" w:cs="宋体" w:asciiTheme="minorEastAsia" w:hAnsiTheme="minorEastAsia" w:eastAsiaTheme="minorEastAsia"/>
          <w:b/>
          <w:bCs/>
          <w:color w:val="000000" w:themeColor="text1"/>
          <w:kern w:val="0"/>
          <w:sz w:val="28"/>
          <w:szCs w:val="28"/>
          <w:lang w:val="zh-CN"/>
        </w:rPr>
        <w:t>）规章制度健全</w:t>
      </w:r>
    </w:p>
    <w:p w14:paraId="372CE074">
      <w:pPr>
        <w:autoSpaceDE w:val="0"/>
        <w:autoSpaceDN w:val="0"/>
        <w:adjustRightInd w:val="0"/>
        <w:spacing w:line="360" w:lineRule="auto"/>
        <w:ind w:firstLine="36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首先，我校研究生院为保证研究生教育质量，出台了一系列管理制度性文件，内容涵盖专业学位研究生教育总体发展方案、招生录取、教学</w:t>
      </w:r>
      <w:r>
        <w:rPr>
          <w:rFonts w:hint="eastAsia" w:cs="宋体" w:asciiTheme="minorEastAsia" w:hAnsiTheme="minorEastAsia" w:eastAsiaTheme="minorEastAsia"/>
          <w:color w:val="000000" w:themeColor="text1"/>
          <w:kern w:val="0"/>
          <w:sz w:val="28"/>
          <w:szCs w:val="28"/>
          <w:lang w:val="en-US" w:eastAsia="zh-CN"/>
        </w:rPr>
        <w:t>任务</w:t>
      </w:r>
      <w:r>
        <w:rPr>
          <w:rFonts w:hint="eastAsia" w:cs="宋体" w:asciiTheme="minorEastAsia" w:hAnsiTheme="minorEastAsia" w:eastAsiaTheme="minorEastAsia"/>
          <w:color w:val="000000" w:themeColor="text1"/>
          <w:kern w:val="0"/>
          <w:sz w:val="28"/>
          <w:szCs w:val="28"/>
          <w:lang w:val="zh-CN"/>
        </w:rPr>
        <w:t>、指导教师、国际交流与合作、实践基地、论文学位等。其次，结合其专业培养目标和特点，学院形成了相应的制度文件，切实提高教育培养质量。</w:t>
      </w:r>
    </w:p>
    <w:p w14:paraId="67F5F58A">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3</w:t>
      </w:r>
      <w:r>
        <w:rPr>
          <w:rFonts w:hint="eastAsia" w:cs="宋体" w:asciiTheme="minorEastAsia" w:hAnsiTheme="minorEastAsia" w:eastAsiaTheme="minorEastAsia"/>
          <w:b/>
          <w:bCs/>
          <w:color w:val="000000" w:themeColor="text1"/>
          <w:kern w:val="0"/>
          <w:sz w:val="28"/>
          <w:szCs w:val="28"/>
          <w:lang w:val="zh-CN"/>
        </w:rPr>
        <w:t>）管理服务到位，重视学生反馈</w:t>
      </w:r>
    </w:p>
    <w:p w14:paraId="25855906">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根据学生校友的需要，项目建立了学生校友组织，成体系的学生活动，顺畅的师生交流平台，完善的学生评价系统等。</w:t>
      </w:r>
    </w:p>
    <w:p w14:paraId="7EBFED90">
      <w:pPr>
        <w:autoSpaceDE w:val="0"/>
        <w:autoSpaceDN w:val="0"/>
        <w:adjustRightInd w:val="0"/>
        <w:spacing w:line="360" w:lineRule="auto"/>
        <w:ind w:firstLine="551" w:firstLineChars="196"/>
        <w:rPr>
          <w:rFonts w:cs="Times New Roman"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w:t>
      </w:r>
      <w:r>
        <w:rPr>
          <w:rFonts w:cs="Times New Roman" w:asciiTheme="minorEastAsia" w:hAnsiTheme="minorEastAsia" w:eastAsiaTheme="minorEastAsia"/>
          <w:b/>
          <w:bCs/>
          <w:color w:val="000000" w:themeColor="text1"/>
          <w:kern w:val="0"/>
          <w:sz w:val="28"/>
          <w:szCs w:val="28"/>
          <w:lang w:val="zh-CN"/>
        </w:rPr>
        <w:t>4</w:t>
      </w:r>
      <w:r>
        <w:rPr>
          <w:rFonts w:hint="eastAsia" w:cs="宋体" w:asciiTheme="minorEastAsia" w:hAnsiTheme="minorEastAsia" w:eastAsiaTheme="minorEastAsia"/>
          <w:b/>
          <w:bCs/>
          <w:color w:val="000000" w:themeColor="text1"/>
          <w:kern w:val="0"/>
          <w:sz w:val="28"/>
          <w:szCs w:val="28"/>
          <w:lang w:val="zh-CN"/>
        </w:rPr>
        <w:t>）社会反响积极，品牌度高</w:t>
      </w:r>
    </w:p>
    <w:p w14:paraId="1F6C3570">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随着教育质量的不断提升，暨南商科教育的品牌知名度也在不断跃升，</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w:t>
      </w: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屡获嘉奖，如管理学院于</w:t>
      </w:r>
      <w:r>
        <w:rPr>
          <w:rFonts w:cs="Times New Roman" w:asciiTheme="minorEastAsia" w:hAnsiTheme="minorEastAsia" w:eastAsiaTheme="minorEastAsia"/>
          <w:color w:val="000000" w:themeColor="text1"/>
          <w:kern w:val="0"/>
          <w:sz w:val="28"/>
          <w:szCs w:val="28"/>
          <w:lang w:val="zh-CN"/>
        </w:rPr>
        <w:t>2013</w:t>
      </w:r>
      <w:r>
        <w:rPr>
          <w:rFonts w:hint="eastAsia" w:cs="宋体" w:asciiTheme="minorEastAsia" w:hAnsiTheme="minorEastAsia" w:eastAsiaTheme="minorEastAsia"/>
          <w:color w:val="000000" w:themeColor="text1"/>
          <w:kern w:val="0"/>
          <w:sz w:val="28"/>
          <w:szCs w:val="28"/>
          <w:lang w:val="zh-CN"/>
        </w:rPr>
        <w:t>年获评为“中国最具价值</w:t>
      </w:r>
      <w:r>
        <w:rPr>
          <w:rFonts w:cs="Times New Roman" w:asciiTheme="minorEastAsia" w:hAnsiTheme="minorEastAsia" w:eastAsiaTheme="minorEastAsia"/>
          <w:color w:val="000000" w:themeColor="text1"/>
          <w:kern w:val="0"/>
          <w:sz w:val="28"/>
          <w:szCs w:val="28"/>
          <w:lang w:val="zh-CN"/>
        </w:rPr>
        <w:t>30</w:t>
      </w:r>
      <w:r>
        <w:rPr>
          <w:rFonts w:hint="eastAsia" w:cs="宋体" w:asciiTheme="minorEastAsia" w:hAnsiTheme="minorEastAsia" w:eastAsiaTheme="minorEastAsia"/>
          <w:color w:val="000000" w:themeColor="text1"/>
          <w:kern w:val="0"/>
          <w:sz w:val="28"/>
          <w:szCs w:val="28"/>
          <w:lang w:val="zh-CN"/>
        </w:rPr>
        <w:t>所商学院”，非全日制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项目获评《福布斯》“</w:t>
      </w:r>
      <w:r>
        <w:rPr>
          <w:rFonts w:cs="Times New Roman" w:asciiTheme="minorEastAsia" w:hAnsiTheme="minorEastAsia" w:eastAsiaTheme="minorEastAsia"/>
          <w:color w:val="000000" w:themeColor="text1"/>
          <w:kern w:val="0"/>
          <w:sz w:val="28"/>
          <w:szCs w:val="28"/>
          <w:lang w:val="zh-CN"/>
        </w:rPr>
        <w:t>2014</w:t>
      </w:r>
      <w:r>
        <w:rPr>
          <w:rFonts w:hint="eastAsia" w:cs="宋体" w:asciiTheme="minorEastAsia" w:hAnsiTheme="minorEastAsia" w:eastAsiaTheme="minorEastAsia"/>
          <w:color w:val="000000" w:themeColor="text1"/>
          <w:kern w:val="0"/>
          <w:sz w:val="28"/>
          <w:szCs w:val="28"/>
          <w:lang w:val="zh-CN"/>
        </w:rPr>
        <w:t>中国最具价值在职</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项目”等</w:t>
      </w:r>
      <w:r>
        <w:rPr>
          <w:rFonts w:hint="eastAsia"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全日制MBA项目于2015年获得“中国最具特色MBA项目奖”，及获得2019年度“中国商学院最具特色MBA项目”。</w:t>
      </w:r>
    </w:p>
    <w:p w14:paraId="643D3E7E">
      <w:pPr>
        <w:autoSpaceDE w:val="0"/>
        <w:autoSpaceDN w:val="0"/>
        <w:adjustRightInd w:val="0"/>
        <w:spacing w:line="360" w:lineRule="auto"/>
        <w:rPr>
          <w:rFonts w:cs="Times New Roman" w:asciiTheme="minorEastAsia" w:hAnsiTheme="minorEastAsia" w:eastAsiaTheme="minorEastAsia"/>
          <w:color w:val="000000" w:themeColor="text1"/>
          <w:kern w:val="0"/>
          <w:sz w:val="28"/>
          <w:szCs w:val="28"/>
          <w:lang w:val="zh-CN"/>
        </w:rPr>
      </w:pPr>
    </w:p>
    <w:p w14:paraId="45FBDAB9">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lang w:val="zh-CN"/>
        </w:rPr>
      </w:pPr>
      <w:r>
        <w:rPr>
          <w:rFonts w:cs="Times New Roman" w:asciiTheme="minorEastAsia" w:hAnsiTheme="minorEastAsia" w:eastAsiaTheme="minorEastAsia"/>
          <w:b/>
          <w:bCs/>
          <w:color w:val="000000" w:themeColor="text1"/>
          <w:kern w:val="0"/>
          <w:sz w:val="28"/>
          <w:szCs w:val="28"/>
        </w:rPr>
        <w:t>1</w:t>
      </w:r>
      <w:r>
        <w:rPr>
          <w:rFonts w:hint="eastAsia" w:cs="Times New Roman" w:asciiTheme="minorEastAsia" w:hAnsiTheme="minorEastAsia" w:eastAsiaTheme="minorEastAsia"/>
          <w:b/>
          <w:bCs/>
          <w:color w:val="000000" w:themeColor="text1"/>
          <w:kern w:val="0"/>
          <w:sz w:val="28"/>
          <w:szCs w:val="28"/>
        </w:rPr>
        <w:t>1</w:t>
      </w:r>
      <w:r>
        <w:rPr>
          <w:rFonts w:cs="Times New Roman" w:asciiTheme="minorEastAsia" w:hAnsiTheme="minorEastAsia" w:eastAsiaTheme="minorEastAsia"/>
          <w:b/>
          <w:bCs/>
          <w:color w:val="000000" w:themeColor="text1"/>
          <w:kern w:val="0"/>
          <w:sz w:val="28"/>
          <w:szCs w:val="28"/>
        </w:rPr>
        <w:t>.</w:t>
      </w:r>
      <w:r>
        <w:rPr>
          <w:rFonts w:hint="eastAsia" w:cs="宋体" w:asciiTheme="minorEastAsia" w:hAnsiTheme="minorEastAsia" w:eastAsiaTheme="minorEastAsia"/>
          <w:b/>
          <w:bCs/>
          <w:color w:val="000000" w:themeColor="text1"/>
          <w:kern w:val="0"/>
          <w:sz w:val="28"/>
          <w:szCs w:val="28"/>
          <w:lang w:val="zh-CN"/>
        </w:rPr>
        <w:t>就业发展</w:t>
      </w:r>
    </w:p>
    <w:p w14:paraId="1B7E32E5">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学位点根植于</w:t>
      </w:r>
      <w:r>
        <w:rPr>
          <w:rFonts w:hint="eastAsia" w:cs="宋体" w:asciiTheme="minorEastAsia" w:hAnsiTheme="minorEastAsia" w:eastAsiaTheme="minorEastAsia"/>
          <w:color w:val="000000" w:themeColor="text1"/>
          <w:kern w:val="0"/>
          <w:sz w:val="28"/>
          <w:szCs w:val="28"/>
        </w:rPr>
        <w:t>粤港澳大湾区</w:t>
      </w:r>
      <w:r>
        <w:rPr>
          <w:rFonts w:hint="eastAsia"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rPr>
        <w:t>坚持教育为本，融合、提炼中华管理智慧</w:t>
      </w:r>
      <w:r>
        <w:rPr>
          <w:rFonts w:hint="eastAsia" w:cs="宋体" w:asciiTheme="minorEastAsia" w:hAnsiTheme="minorEastAsia" w:eastAsiaTheme="minorEastAsia"/>
          <w:color w:val="000000" w:themeColor="text1"/>
          <w:kern w:val="0"/>
          <w:sz w:val="28"/>
          <w:szCs w:val="28"/>
          <w:lang w:val="zh-CN"/>
        </w:rPr>
        <w:t>，为世界培养熟谙中华文化的管理精英。</w:t>
      </w:r>
    </w:p>
    <w:p w14:paraId="5C62FD07">
      <w:pPr>
        <w:autoSpaceDE w:val="0"/>
        <w:autoSpaceDN w:val="0"/>
        <w:adjustRightInd w:val="0"/>
        <w:spacing w:line="360" w:lineRule="auto"/>
        <w:ind w:firstLine="560" w:firstLineChars="200"/>
        <w:rPr>
          <w:rFonts w:cs="Times New Roman"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近五年，</w:t>
      </w:r>
      <w:r>
        <w:rPr>
          <w:rFonts w:cs="Times New Roman" w:asciiTheme="minorEastAsia" w:hAnsiTheme="minorEastAsia" w:eastAsiaTheme="minorEastAsia"/>
          <w:color w:val="000000" w:themeColor="text1"/>
          <w:kern w:val="0"/>
          <w:sz w:val="28"/>
          <w:szCs w:val="28"/>
          <w:lang w:val="zh-CN"/>
        </w:rPr>
        <w:t>MBA</w:t>
      </w:r>
      <w:r>
        <w:rPr>
          <w:rFonts w:hint="eastAsia" w:cs="Times New Roman" w:asciiTheme="minorEastAsia" w:hAnsiTheme="minorEastAsia" w:eastAsiaTheme="minorEastAsia"/>
          <w:color w:val="000000" w:themeColor="text1"/>
          <w:kern w:val="0"/>
          <w:sz w:val="28"/>
          <w:szCs w:val="28"/>
        </w:rPr>
        <w:t>教育中心就业发展服务不断完善，在节假日及疫情期间与就业学生保持沟通，为学生推送招聘信息、提供就业指导，完成就业推荐表及三方协议申办工作，实现就业发展工作“全年不打烊”。</w:t>
      </w:r>
      <w:r>
        <w:rPr>
          <w:rFonts w:hint="eastAsia" w:cs="宋体" w:asciiTheme="minorEastAsia" w:hAnsiTheme="minorEastAsia" w:eastAsiaTheme="minorEastAsia"/>
          <w:color w:val="000000" w:themeColor="text1"/>
          <w:kern w:val="0"/>
          <w:sz w:val="28"/>
          <w:szCs w:val="28"/>
          <w:lang w:val="zh-CN"/>
        </w:rPr>
        <w:t>通过问卷、电话、邮件等方式对全日制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毕业生开展职业发展调查，</w:t>
      </w:r>
      <w:r>
        <w:rPr>
          <w:rFonts w:hint="eastAsia" w:cs="宋体" w:asciiTheme="minorEastAsia" w:hAnsiTheme="minorEastAsia" w:eastAsiaTheme="minorEastAsia"/>
          <w:color w:val="000000" w:themeColor="text1"/>
          <w:kern w:val="0"/>
          <w:sz w:val="28"/>
          <w:szCs w:val="28"/>
        </w:rPr>
        <w:t>结果</w:t>
      </w:r>
      <w:r>
        <w:rPr>
          <w:rFonts w:hint="eastAsia" w:cs="宋体" w:asciiTheme="minorEastAsia" w:hAnsiTheme="minorEastAsia" w:eastAsiaTheme="minorEastAsia"/>
          <w:color w:val="000000" w:themeColor="text1"/>
          <w:kern w:val="0"/>
          <w:sz w:val="28"/>
          <w:szCs w:val="28"/>
          <w:lang w:val="zh-CN"/>
        </w:rPr>
        <w:t>显示，全日制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行业转换率达到</w:t>
      </w:r>
      <w:r>
        <w:rPr>
          <w:rFonts w:hint="eastAsia" w:cs="Times New Roman" w:asciiTheme="minorEastAsia" w:hAnsiTheme="minorEastAsia" w:eastAsiaTheme="minorEastAsia"/>
          <w:color w:val="000000" w:themeColor="text1"/>
          <w:kern w:val="0"/>
          <w:sz w:val="28"/>
          <w:szCs w:val="28"/>
        </w:rPr>
        <w:t>80</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，收入增长达到</w:t>
      </w:r>
      <w:r>
        <w:rPr>
          <w:rFonts w:hint="eastAsia" w:cs="Times New Roman" w:asciiTheme="minorEastAsia" w:hAnsiTheme="minorEastAsia" w:eastAsiaTheme="minorEastAsia"/>
          <w:color w:val="000000" w:themeColor="text1"/>
          <w:kern w:val="0"/>
          <w:sz w:val="28"/>
          <w:szCs w:val="28"/>
        </w:rPr>
        <w:t>70</w:t>
      </w:r>
      <w:r>
        <w:rPr>
          <w:rFonts w:cs="Times New Roman"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；绝大多数非全日制</w:t>
      </w:r>
      <w:r>
        <w:rPr>
          <w:rFonts w:cs="Times New Roman"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在就读期间</w:t>
      </w:r>
      <w:r>
        <w:rPr>
          <w:rFonts w:hint="eastAsia" w:cs="宋体" w:asciiTheme="minorEastAsia" w:hAnsiTheme="minorEastAsia" w:eastAsiaTheme="minorEastAsia"/>
          <w:color w:val="000000" w:themeColor="text1"/>
          <w:kern w:val="0"/>
          <w:sz w:val="28"/>
          <w:szCs w:val="28"/>
        </w:rPr>
        <w:t>获得了个人提升，在</w:t>
      </w:r>
      <w:r>
        <w:rPr>
          <w:rFonts w:hint="eastAsia" w:cs="宋体" w:asciiTheme="minorEastAsia" w:hAnsiTheme="minorEastAsia" w:eastAsiaTheme="minorEastAsia"/>
          <w:color w:val="000000" w:themeColor="text1"/>
          <w:kern w:val="0"/>
          <w:sz w:val="28"/>
          <w:szCs w:val="28"/>
          <w:lang w:val="zh-CN"/>
        </w:rPr>
        <w:t>毕业后就实现了职业转换、薪酬增加、</w:t>
      </w:r>
      <w:r>
        <w:rPr>
          <w:rFonts w:hint="eastAsia" w:cs="宋体" w:asciiTheme="minorEastAsia" w:hAnsiTheme="minorEastAsia" w:eastAsiaTheme="minorEastAsia"/>
          <w:color w:val="000000" w:themeColor="text1"/>
          <w:kern w:val="0"/>
          <w:sz w:val="28"/>
          <w:szCs w:val="28"/>
        </w:rPr>
        <w:t>职务升迁</w:t>
      </w:r>
      <w:r>
        <w:rPr>
          <w:rFonts w:hint="eastAsia" w:cs="宋体" w:asciiTheme="minorEastAsia" w:hAnsiTheme="minorEastAsia" w:eastAsiaTheme="minorEastAsia"/>
          <w:color w:val="000000" w:themeColor="text1"/>
          <w:kern w:val="0"/>
          <w:sz w:val="28"/>
          <w:szCs w:val="28"/>
          <w:lang w:val="zh-CN"/>
        </w:rPr>
        <w:t>等</w:t>
      </w:r>
      <w:r>
        <w:rPr>
          <w:rFonts w:hint="eastAsia" w:cs="宋体" w:asciiTheme="minorEastAsia" w:hAnsiTheme="minorEastAsia" w:eastAsiaTheme="minorEastAsia"/>
          <w:color w:val="000000" w:themeColor="text1"/>
          <w:kern w:val="0"/>
          <w:sz w:val="28"/>
          <w:szCs w:val="28"/>
        </w:rPr>
        <w:t>变化</w:t>
      </w:r>
      <w:r>
        <w:rPr>
          <w:rFonts w:hint="eastAsia" w:cs="宋体" w:asciiTheme="minorEastAsia" w:hAnsiTheme="minorEastAsia" w:eastAsiaTheme="minorEastAsia"/>
          <w:color w:val="000000" w:themeColor="text1"/>
          <w:kern w:val="0"/>
          <w:sz w:val="28"/>
          <w:szCs w:val="28"/>
          <w:lang w:val="zh-CN"/>
        </w:rPr>
        <w:t>。</w:t>
      </w:r>
    </w:p>
    <w:p w14:paraId="052D77FE">
      <w:pPr>
        <w:autoSpaceDE w:val="0"/>
        <w:autoSpaceDN w:val="0"/>
        <w:adjustRightInd w:val="0"/>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cs="Times New Roman" w:asciiTheme="minorEastAsia" w:hAnsiTheme="minorEastAsia" w:eastAsiaTheme="minorEastAsia"/>
          <w:color w:val="000000" w:themeColor="text1"/>
          <w:kern w:val="0"/>
          <w:sz w:val="28"/>
          <w:szCs w:val="28"/>
          <w:lang w:val="zh-CN"/>
        </w:rPr>
        <w:t>EMBA</w:t>
      </w:r>
      <w:r>
        <w:rPr>
          <w:rFonts w:hint="eastAsia" w:cs="宋体" w:asciiTheme="minorEastAsia" w:hAnsiTheme="minorEastAsia" w:eastAsiaTheme="minorEastAsia"/>
          <w:color w:val="000000" w:themeColor="text1"/>
          <w:kern w:val="0"/>
          <w:sz w:val="28"/>
          <w:szCs w:val="28"/>
          <w:lang w:val="zh-CN"/>
        </w:rPr>
        <w:t>同学主要是来自各单位和企业的高层管理者。他们通过学习开阔了管理视野，增强了企业管理能力和领导力，实现了个人职业跃升，</w:t>
      </w:r>
      <w:r>
        <w:rPr>
          <w:rFonts w:hint="eastAsia" w:cs="宋体" w:asciiTheme="minorEastAsia" w:hAnsiTheme="minorEastAsia" w:eastAsiaTheme="minorEastAsia"/>
          <w:color w:val="000000" w:themeColor="text1"/>
          <w:kern w:val="0"/>
          <w:sz w:val="28"/>
          <w:szCs w:val="28"/>
        </w:rPr>
        <w:t>EMBA教育平台助力企业走向上市，</w:t>
      </w:r>
      <w:r>
        <w:rPr>
          <w:rFonts w:hint="eastAsia" w:cs="宋体" w:asciiTheme="minorEastAsia" w:hAnsiTheme="minorEastAsia" w:eastAsiaTheme="minorEastAsia"/>
          <w:color w:val="000000" w:themeColor="text1"/>
          <w:kern w:val="0"/>
          <w:sz w:val="28"/>
          <w:szCs w:val="28"/>
          <w:lang w:val="zh-CN"/>
        </w:rPr>
        <w:t>并推动了企业的可持续发展。如</w:t>
      </w:r>
      <w:r>
        <w:rPr>
          <w:rFonts w:hint="eastAsia" w:cs="宋体" w:asciiTheme="minorEastAsia" w:hAnsiTheme="minorEastAsia" w:eastAsiaTheme="minorEastAsia"/>
          <w:color w:val="000000" w:themeColor="text1"/>
          <w:kern w:val="0"/>
          <w:sz w:val="28"/>
          <w:szCs w:val="28"/>
        </w:rPr>
        <w:t>2021年7月份上市的世茂能源，如中海达集团等。亦有同学学业期间走上创业合伙人的道路，实现职业的跨赛道转型等。</w:t>
      </w:r>
    </w:p>
    <w:p w14:paraId="506331F1">
      <w:pPr>
        <w:autoSpaceDE w:val="0"/>
        <w:autoSpaceDN w:val="0"/>
        <w:adjustRightInd w:val="0"/>
        <w:spacing w:line="360" w:lineRule="auto"/>
        <w:ind w:firstLine="470"/>
        <w:rPr>
          <w:rFonts w:cs="宋体" w:asciiTheme="minorEastAsia" w:hAnsiTheme="minorEastAsia" w:eastAsiaTheme="minorEastAsia"/>
          <w:color w:val="000000" w:themeColor="text1"/>
          <w:kern w:val="0"/>
          <w:sz w:val="28"/>
          <w:szCs w:val="28"/>
          <w:lang w:val="zh-CN"/>
        </w:rPr>
      </w:pPr>
    </w:p>
    <w:p w14:paraId="114F4643">
      <w:pPr>
        <w:autoSpaceDE w:val="0"/>
        <w:autoSpaceDN w:val="0"/>
        <w:adjustRightInd w:val="0"/>
        <w:spacing w:line="360" w:lineRule="auto"/>
        <w:rPr>
          <w:rFonts w:cs="宋体" w:asciiTheme="minorEastAsia" w:hAnsiTheme="minorEastAsia" w:eastAsiaTheme="minorEastAsia"/>
          <w:b/>
          <w:bCs/>
          <w:color w:val="000000" w:themeColor="text1"/>
          <w:kern w:val="0"/>
          <w:sz w:val="28"/>
          <w:szCs w:val="28"/>
          <w:lang w:val="zh-CN"/>
        </w:rPr>
      </w:pPr>
      <w:r>
        <w:rPr>
          <w:rFonts w:hint="eastAsia" w:cs="宋体" w:asciiTheme="minorEastAsia" w:hAnsiTheme="minorEastAsia" w:eastAsiaTheme="minorEastAsia"/>
          <w:b/>
          <w:bCs/>
          <w:color w:val="000000" w:themeColor="text1"/>
          <w:kern w:val="0"/>
          <w:sz w:val="28"/>
          <w:szCs w:val="28"/>
          <w:lang w:val="zh-CN"/>
        </w:rPr>
        <w:t>（四）服务贡献</w:t>
      </w:r>
    </w:p>
    <w:p w14:paraId="1864EC80">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rPr>
      </w:pPr>
      <w:r>
        <w:rPr>
          <w:rFonts w:cs="Times New Roman" w:asciiTheme="minorEastAsia" w:hAnsiTheme="minorEastAsia" w:eastAsiaTheme="minorEastAsia"/>
          <w:b/>
          <w:bCs/>
          <w:color w:val="000000" w:themeColor="text1"/>
          <w:kern w:val="0"/>
          <w:sz w:val="28"/>
          <w:szCs w:val="28"/>
        </w:rPr>
        <w:t>1</w:t>
      </w:r>
      <w:r>
        <w:rPr>
          <w:rFonts w:hint="eastAsia" w:cs="Times New Roman" w:asciiTheme="minorEastAsia" w:hAnsiTheme="minorEastAsia" w:eastAsiaTheme="minorEastAsia"/>
          <w:b/>
          <w:bCs/>
          <w:color w:val="000000" w:themeColor="text1"/>
          <w:kern w:val="0"/>
          <w:sz w:val="28"/>
          <w:szCs w:val="28"/>
        </w:rPr>
        <w:t>.科技进步</w:t>
      </w:r>
    </w:p>
    <w:p w14:paraId="6FA1813A">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院MBA/EMBA教育致力于提升学生的综合管理素质和管理创新能力，不断创新办学理念，开展跨学科交叉融合，希望学生真正把专业知识转化为专业技术，把教学能力转化为实践能力。学院还举办一系列实践类品牌活动，为学生的创新创业项目提供转化平台。如M</w:t>
      </w:r>
      <w:r>
        <w:rPr>
          <w:rFonts w:cs="宋体" w:asciiTheme="minorEastAsia" w:hAnsiTheme="minorEastAsia" w:eastAsiaTheme="minorEastAsia"/>
          <w:color w:val="000000" w:themeColor="text1"/>
          <w:kern w:val="0"/>
          <w:sz w:val="28"/>
          <w:szCs w:val="28"/>
          <w:lang w:val="zh-CN"/>
        </w:rPr>
        <w:t>BA</w:t>
      </w:r>
      <w:r>
        <w:rPr>
          <w:rFonts w:hint="eastAsia" w:cs="宋体" w:asciiTheme="minorEastAsia" w:hAnsiTheme="minorEastAsia" w:eastAsiaTheme="minorEastAsia"/>
          <w:color w:val="000000" w:themeColor="text1"/>
          <w:kern w:val="0"/>
          <w:sz w:val="28"/>
          <w:szCs w:val="28"/>
          <w:lang w:val="zh-CN"/>
        </w:rPr>
        <w:t>的P</w:t>
      </w:r>
      <w:r>
        <w:rPr>
          <w:rFonts w:cs="宋体" w:asciiTheme="minorEastAsia" w:hAnsiTheme="minorEastAsia" w:eastAsiaTheme="minorEastAsia"/>
          <w:color w:val="000000" w:themeColor="text1"/>
          <w:kern w:val="0"/>
          <w:sz w:val="28"/>
          <w:szCs w:val="28"/>
          <w:lang w:val="zh-CN"/>
        </w:rPr>
        <w:t>BL</w:t>
      </w:r>
      <w:r>
        <w:rPr>
          <w:rFonts w:hint="eastAsia" w:cs="宋体" w:asciiTheme="minorEastAsia" w:hAnsiTheme="minorEastAsia" w:eastAsiaTheme="minorEastAsia"/>
          <w:color w:val="000000" w:themeColor="text1"/>
          <w:kern w:val="0"/>
          <w:sz w:val="28"/>
          <w:szCs w:val="28"/>
          <w:lang w:val="zh-CN"/>
        </w:rPr>
        <w:t>项目、E</w:t>
      </w:r>
      <w:r>
        <w:rPr>
          <w:rFonts w:cs="宋体" w:asciiTheme="minorEastAsia" w:hAnsiTheme="minorEastAsia" w:eastAsiaTheme="minorEastAsia"/>
          <w:color w:val="000000" w:themeColor="text1"/>
          <w:kern w:val="0"/>
          <w:sz w:val="28"/>
          <w:szCs w:val="28"/>
          <w:lang w:val="zh-CN"/>
        </w:rPr>
        <w:t>MBA</w:t>
      </w:r>
      <w:r>
        <w:rPr>
          <w:rFonts w:hint="eastAsia" w:cs="宋体" w:asciiTheme="minorEastAsia" w:hAnsiTheme="minorEastAsia" w:eastAsiaTheme="minorEastAsia"/>
          <w:color w:val="000000" w:themeColor="text1"/>
          <w:kern w:val="0"/>
          <w:sz w:val="28"/>
          <w:szCs w:val="28"/>
          <w:lang w:val="zh-CN"/>
        </w:rPr>
        <w:t>的“E战成名”商业实战大赛等品牌活动，借助学院自身的商科优势、丰富的校友资源，充分结合理论学习和商业实践操作，使商科教育更加深度化和实效化。</w:t>
      </w:r>
    </w:p>
    <w:p w14:paraId="15A0609D">
      <w:pPr>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cs="宋体" w:asciiTheme="minorEastAsia" w:hAnsiTheme="minorEastAsia" w:eastAsiaTheme="minorEastAsia"/>
          <w:color w:val="000000" w:themeColor="text1"/>
          <w:kern w:val="0"/>
          <w:sz w:val="28"/>
          <w:szCs w:val="28"/>
        </w:rPr>
        <w:t>管理学院上课教育注重教学实践相结合，在此期间有不少企业把知识进行了成果的转化，专利呈现</w:t>
      </w:r>
      <w:r>
        <w:rPr>
          <w:rFonts w:hint="eastAsia" w:cs="宋体" w:asciiTheme="minorEastAsia" w:hAnsiTheme="minorEastAsia" w:eastAsiaTheme="minorEastAsia"/>
          <w:color w:val="000000" w:themeColor="text1"/>
          <w:kern w:val="0"/>
          <w:sz w:val="28"/>
          <w:szCs w:val="28"/>
          <w:lang w:val="en-US" w:eastAsia="zh-CN"/>
        </w:rPr>
        <w:t>层</w:t>
      </w:r>
      <w:r>
        <w:rPr>
          <w:rFonts w:hint="eastAsia" w:cs="宋体" w:asciiTheme="minorEastAsia" w:hAnsiTheme="minorEastAsia" w:eastAsiaTheme="minorEastAsia"/>
          <w:color w:val="000000" w:themeColor="text1"/>
          <w:kern w:val="0"/>
          <w:sz w:val="28"/>
          <w:szCs w:val="28"/>
        </w:rPr>
        <w:t>出不穷，比如广东百源实业有限公司的厨用撕肉器以及一味调味盒设计等，充分利用《项目管理》的相关理念进行设计思考，取得非常好的社会反应。</w:t>
      </w:r>
    </w:p>
    <w:p w14:paraId="45BD4CE5">
      <w:pPr>
        <w:spacing w:line="360" w:lineRule="auto"/>
        <w:ind w:firstLine="560" w:firstLineChars="200"/>
        <w:rPr>
          <w:rFonts w:cs="宋体" w:asciiTheme="minorEastAsia" w:hAnsiTheme="minorEastAsia" w:eastAsiaTheme="minorEastAsia"/>
          <w:color w:val="000000" w:themeColor="text1"/>
          <w:kern w:val="0"/>
          <w:sz w:val="28"/>
          <w:szCs w:val="28"/>
        </w:rPr>
      </w:pPr>
      <w:r>
        <w:rPr>
          <w:rFonts w:hint="eastAsia" w:ascii="MS Mincho" w:hAnsi="MS Mincho" w:cs="MS Mincho"/>
          <w:color w:val="000000" w:themeColor="text1"/>
          <w:sz w:val="28"/>
          <w:szCs w:val="28"/>
        </w:rPr>
        <w:t>还有学生获得了相关的荣誉等，比如学生陈锦达获得广东省侨联青年委员会委员等称号。</w:t>
      </w:r>
    </w:p>
    <w:p w14:paraId="742C1D41">
      <w:pPr>
        <w:spacing w:line="360" w:lineRule="auto"/>
        <w:rPr>
          <w:rFonts w:asciiTheme="minorEastAsia" w:hAnsiTheme="minorEastAsia" w:eastAsiaTheme="minorEastAsia"/>
          <w:color w:val="000000" w:themeColor="text1"/>
          <w:sz w:val="28"/>
          <w:szCs w:val="28"/>
        </w:rPr>
      </w:pPr>
    </w:p>
    <w:p w14:paraId="2693D4B1">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rPr>
      </w:pPr>
      <w:r>
        <w:rPr>
          <w:rFonts w:cs="Times New Roman" w:asciiTheme="minorEastAsia" w:hAnsiTheme="minorEastAsia" w:eastAsiaTheme="minorEastAsia"/>
          <w:b/>
          <w:bCs/>
          <w:color w:val="000000" w:themeColor="text1"/>
          <w:kern w:val="0"/>
          <w:sz w:val="28"/>
          <w:szCs w:val="28"/>
        </w:rPr>
        <w:t>2</w:t>
      </w:r>
      <w:r>
        <w:rPr>
          <w:rFonts w:hint="eastAsia" w:cs="Times New Roman" w:asciiTheme="minorEastAsia" w:hAnsiTheme="minorEastAsia" w:eastAsiaTheme="minorEastAsia"/>
          <w:b/>
          <w:bCs/>
          <w:color w:val="000000" w:themeColor="text1"/>
          <w:kern w:val="0"/>
          <w:sz w:val="28"/>
          <w:szCs w:val="28"/>
        </w:rPr>
        <w:t>.经济发展</w:t>
      </w:r>
    </w:p>
    <w:p w14:paraId="2145D588">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学院围绕服务粤港澳大湾区产业转型升级和服务实体经济动能转换，培养适合各产业发展的管理人才，强化产教融合、加强校企产学研合作，拓宽学生就业渠道，做大做强做优商科教育，支撑产业发展，推动区域实体经济枝繁叶茂。我院大部分M</w:t>
      </w:r>
      <w:r>
        <w:rPr>
          <w:rFonts w:cs="宋体" w:asciiTheme="minorEastAsia" w:hAnsiTheme="minorEastAsia" w:eastAsiaTheme="minorEastAsia"/>
          <w:color w:val="000000" w:themeColor="text1"/>
          <w:kern w:val="0"/>
          <w:sz w:val="28"/>
          <w:szCs w:val="28"/>
          <w:lang w:val="zh-CN"/>
        </w:rPr>
        <w:t>BA\EMBA</w:t>
      </w:r>
      <w:r>
        <w:rPr>
          <w:rFonts w:hint="eastAsia" w:cs="宋体" w:asciiTheme="minorEastAsia" w:hAnsiTheme="minorEastAsia" w:eastAsiaTheme="minorEastAsia"/>
          <w:color w:val="000000" w:themeColor="text1"/>
          <w:kern w:val="0"/>
          <w:sz w:val="28"/>
          <w:szCs w:val="28"/>
          <w:lang w:val="zh-CN"/>
        </w:rPr>
        <w:t>生源都来自粤港澳大湾区，学院M</w:t>
      </w:r>
      <w:r>
        <w:rPr>
          <w:rFonts w:cs="宋体" w:asciiTheme="minorEastAsia" w:hAnsiTheme="minorEastAsia" w:eastAsiaTheme="minorEastAsia"/>
          <w:color w:val="000000" w:themeColor="text1"/>
          <w:kern w:val="0"/>
          <w:sz w:val="28"/>
          <w:szCs w:val="28"/>
          <w:lang w:val="zh-CN"/>
        </w:rPr>
        <w:t>BA\EMBA教育</w:t>
      </w:r>
      <w:r>
        <w:rPr>
          <w:rFonts w:hint="eastAsia" w:cs="宋体" w:asciiTheme="minorEastAsia" w:hAnsiTheme="minorEastAsia" w:eastAsiaTheme="minorEastAsia"/>
          <w:color w:val="000000" w:themeColor="text1"/>
          <w:kern w:val="0"/>
          <w:sz w:val="28"/>
          <w:szCs w:val="28"/>
          <w:lang w:val="zh-CN"/>
        </w:rPr>
        <w:t>为大湾区经济发展持续培养和输送了大量高素质管理人才，服务区域发展，助力地区腾飞。截</w:t>
      </w:r>
      <w:r>
        <w:rPr>
          <w:rFonts w:hint="eastAsia" w:cs="宋体" w:asciiTheme="minorEastAsia" w:hAnsiTheme="minorEastAsia" w:eastAsiaTheme="minorEastAsia"/>
          <w:color w:val="000000" w:themeColor="text1"/>
          <w:kern w:val="0"/>
          <w:sz w:val="28"/>
          <w:szCs w:val="28"/>
          <w:lang w:val="en-US" w:eastAsia="zh-CN"/>
        </w:rPr>
        <w:t>至</w:t>
      </w:r>
      <w:r>
        <w:rPr>
          <w:rFonts w:hint="eastAsia" w:cs="宋体" w:asciiTheme="minorEastAsia" w:hAnsiTheme="minorEastAsia" w:eastAsiaTheme="minorEastAsia"/>
          <w:color w:val="000000" w:themeColor="text1"/>
          <w:kern w:val="0"/>
          <w:sz w:val="28"/>
          <w:szCs w:val="28"/>
          <w:lang w:val="zh-CN"/>
        </w:rPr>
        <w:t>目前，我院MBA累计培养</w:t>
      </w:r>
      <w:r>
        <w:rPr>
          <w:rFonts w:cs="宋体" w:asciiTheme="minorEastAsia" w:hAnsiTheme="minorEastAsia" w:eastAsiaTheme="minorEastAsia"/>
          <w:color w:val="000000" w:themeColor="text1"/>
          <w:kern w:val="0"/>
          <w:sz w:val="28"/>
          <w:szCs w:val="28"/>
          <w:lang w:val="zh-CN"/>
        </w:rPr>
        <w:t>4564</w:t>
      </w:r>
      <w:r>
        <w:rPr>
          <w:rFonts w:hint="eastAsia" w:cs="宋体" w:asciiTheme="minorEastAsia" w:hAnsiTheme="minorEastAsia" w:eastAsiaTheme="minorEastAsia"/>
          <w:color w:val="000000" w:themeColor="text1"/>
          <w:kern w:val="0"/>
          <w:sz w:val="28"/>
          <w:szCs w:val="28"/>
          <w:lang w:val="zh-CN"/>
        </w:rPr>
        <w:t>人，EMBA累计培养855人。</w:t>
      </w:r>
    </w:p>
    <w:p w14:paraId="077CC5D2">
      <w:pPr>
        <w:spacing w:line="360" w:lineRule="auto"/>
        <w:rPr>
          <w:rFonts w:cs="宋体" w:asciiTheme="minorEastAsia" w:hAnsiTheme="minorEastAsia" w:eastAsiaTheme="minorEastAsia"/>
          <w:color w:val="000000" w:themeColor="text1"/>
          <w:kern w:val="0"/>
          <w:sz w:val="28"/>
          <w:szCs w:val="28"/>
          <w:lang w:val="zh-CN"/>
        </w:rPr>
      </w:pPr>
    </w:p>
    <w:p w14:paraId="4EA63C26">
      <w:pPr>
        <w:autoSpaceDE w:val="0"/>
        <w:autoSpaceDN w:val="0"/>
        <w:adjustRightInd w:val="0"/>
        <w:spacing w:line="360" w:lineRule="auto"/>
        <w:rPr>
          <w:rFonts w:cs="Times New Roman" w:asciiTheme="minorEastAsia" w:hAnsiTheme="minorEastAsia" w:eastAsiaTheme="minorEastAsia"/>
          <w:b/>
          <w:bCs/>
          <w:color w:val="000000" w:themeColor="text1"/>
          <w:kern w:val="0"/>
          <w:sz w:val="28"/>
          <w:szCs w:val="28"/>
        </w:rPr>
      </w:pPr>
      <w:r>
        <w:rPr>
          <w:rFonts w:hint="eastAsia" w:cs="Times New Roman" w:asciiTheme="minorEastAsia" w:hAnsiTheme="minorEastAsia" w:eastAsiaTheme="minorEastAsia"/>
          <w:b/>
          <w:bCs/>
          <w:color w:val="000000" w:themeColor="text1"/>
          <w:kern w:val="0"/>
          <w:sz w:val="28"/>
          <w:szCs w:val="28"/>
        </w:rPr>
        <w:t>3</w:t>
      </w:r>
      <w:r>
        <w:rPr>
          <w:rFonts w:cs="Times New Roman" w:asciiTheme="minorEastAsia" w:hAnsiTheme="minorEastAsia" w:eastAsiaTheme="minorEastAsia"/>
          <w:b/>
          <w:bCs/>
          <w:color w:val="000000" w:themeColor="text1"/>
          <w:kern w:val="0"/>
          <w:sz w:val="28"/>
          <w:szCs w:val="28"/>
        </w:rPr>
        <w:t>.</w:t>
      </w:r>
      <w:r>
        <w:rPr>
          <w:rFonts w:hint="eastAsia" w:cs="Times New Roman" w:asciiTheme="minorEastAsia" w:hAnsiTheme="minorEastAsia" w:eastAsiaTheme="minorEastAsia"/>
          <w:b/>
          <w:bCs/>
          <w:color w:val="000000" w:themeColor="text1"/>
          <w:kern w:val="0"/>
          <w:sz w:val="28"/>
          <w:szCs w:val="28"/>
        </w:rPr>
        <w:t>文化建设</w:t>
      </w:r>
    </w:p>
    <w:p w14:paraId="5D022C3E">
      <w:pPr>
        <w:spacing w:line="360" w:lineRule="auto"/>
        <w:ind w:firstLine="560" w:firstLineChars="200"/>
        <w:rPr>
          <w:rFonts w:cs="宋体" w:asciiTheme="minorEastAsia" w:hAnsiTheme="minorEastAsia" w:eastAsiaTheme="minorEastAsia"/>
          <w:color w:val="000000" w:themeColor="text1"/>
          <w:kern w:val="0"/>
          <w:sz w:val="28"/>
          <w:szCs w:val="28"/>
          <w:lang w:val="zh-CN"/>
        </w:rPr>
      </w:pPr>
      <w:r>
        <w:rPr>
          <w:rFonts w:hint="eastAsia" w:cs="宋体" w:asciiTheme="minorEastAsia" w:hAnsiTheme="minorEastAsia" w:eastAsiaTheme="minorEastAsia"/>
          <w:color w:val="000000" w:themeColor="text1"/>
          <w:kern w:val="0"/>
          <w:sz w:val="28"/>
          <w:szCs w:val="28"/>
          <w:lang w:val="zh-CN"/>
        </w:rPr>
        <w:t>管理</w:t>
      </w:r>
      <w:r>
        <w:rPr>
          <w:rFonts w:cs="宋体" w:asciiTheme="minorEastAsia" w:hAnsiTheme="minorEastAsia" w:eastAsiaTheme="minorEastAsia"/>
          <w:color w:val="000000" w:themeColor="text1"/>
          <w:kern w:val="0"/>
          <w:sz w:val="28"/>
          <w:szCs w:val="28"/>
          <w:lang w:val="zh-CN"/>
        </w:rPr>
        <w:t>学院坚持内涵式发展和高质量</w:t>
      </w:r>
      <w:r>
        <w:rPr>
          <w:rFonts w:hint="eastAsia" w:cs="宋体" w:asciiTheme="minorEastAsia" w:hAnsiTheme="minorEastAsia" w:eastAsiaTheme="minorEastAsia"/>
          <w:color w:val="000000" w:themeColor="text1"/>
          <w:kern w:val="0"/>
          <w:sz w:val="28"/>
          <w:szCs w:val="28"/>
          <w:lang w:val="zh-CN"/>
        </w:rPr>
        <w:t>商科</w:t>
      </w:r>
      <w:r>
        <w:rPr>
          <w:rFonts w:cs="宋体" w:asciiTheme="minorEastAsia" w:hAnsiTheme="minorEastAsia" w:eastAsiaTheme="minorEastAsia"/>
          <w:color w:val="000000" w:themeColor="text1"/>
          <w:kern w:val="0"/>
          <w:sz w:val="28"/>
          <w:szCs w:val="28"/>
          <w:lang w:val="zh-CN"/>
        </w:rPr>
        <w:t>品牌建设，在商科人才培养上全力投入，真抓实干，MBA</w:t>
      </w:r>
      <w:r>
        <w:rPr>
          <w:rFonts w:hint="eastAsia" w:cs="宋体" w:asciiTheme="minorEastAsia" w:hAnsiTheme="minorEastAsia" w:eastAsiaTheme="minorEastAsia"/>
          <w:color w:val="000000" w:themeColor="text1"/>
          <w:kern w:val="0"/>
          <w:sz w:val="28"/>
          <w:szCs w:val="28"/>
          <w:lang w:val="zh-CN"/>
        </w:rPr>
        <w:t>/EMBA</w:t>
      </w:r>
      <w:r>
        <w:rPr>
          <w:rFonts w:cs="宋体" w:asciiTheme="minorEastAsia" w:hAnsiTheme="minorEastAsia" w:eastAsiaTheme="minorEastAsia"/>
          <w:color w:val="000000" w:themeColor="text1"/>
          <w:kern w:val="0"/>
          <w:sz w:val="28"/>
          <w:szCs w:val="28"/>
          <w:lang w:val="zh-CN"/>
        </w:rPr>
        <w:t>项目实施过程中融课堂教学、社会实践、学生服务和文化熏陶为一体，相互依托，相互促进，引导学生勇立潮头，实现角色认知的蜕变</w:t>
      </w:r>
      <w:r>
        <w:rPr>
          <w:rFonts w:hint="eastAsia" w:cs="宋体" w:asciiTheme="minorEastAsia" w:hAnsiTheme="minorEastAsia" w:eastAsiaTheme="minorEastAsia"/>
          <w:color w:val="000000" w:themeColor="text1"/>
          <w:kern w:val="0"/>
          <w:sz w:val="28"/>
          <w:szCs w:val="28"/>
          <w:lang w:val="zh-CN"/>
        </w:rPr>
        <w:t>。开设《国学与商道》《企业社会责任与商业伦理》等课程</w:t>
      </w:r>
      <w:r>
        <w:rPr>
          <w:rFonts w:cs="宋体" w:asciiTheme="minorEastAsia" w:hAnsiTheme="minorEastAsia" w:eastAsiaTheme="minorEastAsia"/>
          <w:color w:val="000000" w:themeColor="text1"/>
          <w:kern w:val="0"/>
          <w:sz w:val="28"/>
          <w:szCs w:val="28"/>
          <w:lang w:val="zh-CN"/>
        </w:rPr>
        <w:t>让学生深刻领会传统商业文化为现代商业文化建设提供的深厚民族文化传统养分，感知专业魅力，增强文化自信</w:t>
      </w:r>
      <w:r>
        <w:rPr>
          <w:rFonts w:hint="eastAsia" w:cs="宋体" w:asciiTheme="minorEastAsia" w:hAnsiTheme="minorEastAsia" w:eastAsiaTheme="minorEastAsia"/>
          <w:color w:val="000000" w:themeColor="text1"/>
          <w:kern w:val="0"/>
          <w:sz w:val="28"/>
          <w:szCs w:val="28"/>
          <w:lang w:val="zh-CN"/>
        </w:rPr>
        <w:t>和社会责任感</w:t>
      </w:r>
      <w:r>
        <w:rPr>
          <w:rFonts w:cs="宋体" w:asciiTheme="minorEastAsia" w:hAnsiTheme="minorEastAsia" w:eastAsiaTheme="minorEastAsia"/>
          <w:color w:val="000000" w:themeColor="text1"/>
          <w:kern w:val="0"/>
          <w:sz w:val="28"/>
          <w:szCs w:val="28"/>
          <w:lang w:val="zh-CN"/>
        </w:rPr>
        <w:t>。</w:t>
      </w:r>
      <w:r>
        <w:rPr>
          <w:rFonts w:hint="eastAsia" w:cs="宋体" w:asciiTheme="minorEastAsia" w:hAnsiTheme="minorEastAsia" w:eastAsiaTheme="minorEastAsia"/>
          <w:color w:val="000000" w:themeColor="text1"/>
          <w:kern w:val="0"/>
          <w:sz w:val="28"/>
          <w:szCs w:val="28"/>
          <w:lang w:val="zh-CN"/>
        </w:rPr>
        <w:t>在社会服务方面，管理学院坚持培养对社会责任感的综合性管理人才，鼓励学生积极为社会做贡献。从2020年疫情突袭武汉到2021年全球疫情蔓延，遍布世界各地的管理学院学子第一时间捐送物资。在抗击武汉冠状病毒肺炎的救援行动中，暨南大学管理学院1996级MBA校友，现任恒大集团董事局副主席、总裁夏海钧所在的恒大集团先后3次捐款，累计投入超过11亿。EMBA校友联合会三届会长陈誉萍、吴锐军、罗定身先士卒、爱心接棒，全力支援抗疫，由EMBA校友联合会发起的捐赠，总金额已达￥273,549.99元，是支援暨大抗疫专项基金微捐赠团队中金额最多的团队，EMBA各个班级以及个人也都做出了相应的捐赠支持。罗定本人也获得“广东省侨青联抗疫先进个人”奖项。德尔塔毒株蔓延全球，2002级EMBA校友企业康泰生物制品股份有限公司宣布，其针对新冠病毒变异株的研发项目取得进展，已成功分离出多株“德尔塔”变异株单克隆毒种，为抗击疫情做出重大贡献。暨南大学EMBA暨海慈善会数十年如一日坚持慈善，除了常规的助学计划、扶持乡村教师的清冰计划以及“月行一善”重大疾病救助工程以外，在疫情期间暨海慈善设置新冠肺炎专项基金，用于援鄂医疗队“最美逆行者—89名暨南大学华侨医院的医护人员的补贴”，并对对口扶持学校进行防疫物资筹集等工作。在国家危难之时，管理学院学子勇于承担社会责任，身先士卒。</w:t>
      </w:r>
    </w:p>
    <w:sectPr>
      <w:footerReference r:id="rId5" w:type="default"/>
      <w:footnotePr>
        <w:numFmt w:val="decimalEnclosedCircleChinese"/>
      </w:footnotePr>
      <w:pgSz w:w="11906" w:h="16838"/>
      <w:pgMar w:top="1440" w:right="1797" w:bottom="1440" w:left="179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KaiTi_GB2312">
    <w:altName w:val="楷体"/>
    <w:panose1 w:val="02010609060101010101"/>
    <w:charset w:val="86"/>
    <w:family w:val="modern"/>
    <w:pitch w:val="default"/>
    <w:sig w:usb0="00000000" w:usb1="00000000"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46231">
    <w:pPr>
      <w:pStyle w:val="4"/>
      <w:rPr>
        <w:rFonts w:cs="Times New Roman"/>
      </w:rPr>
    </w:pPr>
    <w:r>
      <w:pict>
        <v:shape id="文本框 1" o:spid="_x0000_s3074"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E1rs/tgBAACxAwAADgAAAAAAAAABACAA&#10;AAAfAQAAZHJzL2Uyb0RvYy54bWxQSwUGAAAAAAYABgBZAQAAaQUAAAAA&#10;">
          <v:path/>
          <v:fill on="f" focussize="0,0"/>
          <v:stroke on="f" weight="0.5pt" joinstyle="miter"/>
          <v:imagedata o:title=""/>
          <o:lock v:ext="edit"/>
          <v:textbox inset="0mm,0mm,0mm,0mm" style="mso-fit-shape-to-text:t;">
            <w:txbxContent>
              <w:p w14:paraId="78126758">
                <w:pPr>
                  <w:pStyle w:val="4"/>
                  <w:rPr>
                    <w:rFonts w:cs="Times New Roman"/>
                  </w:rPr>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B450E">
    <w:pPr>
      <w:pStyle w:val="4"/>
      <w:rPr>
        <w:rFonts w:cs="Times New Roman"/>
      </w:rPr>
    </w:pPr>
    <w: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xBGsx9gBAACxAwAADgAAAAAAAAABACAA&#10;AAAfAQAAZHJzL2Uyb0RvYy54bWxQSwUGAAAAAAYABgBZAQAAaQUAAAAA&#10;">
          <v:path/>
          <v:fill on="f" focussize="0,0"/>
          <v:stroke on="f" weight="0.5pt" joinstyle="miter"/>
          <v:imagedata o:title=""/>
          <o:lock v:ext="edit"/>
          <v:textbox inset="0mm,0mm,0mm,0mm" style="mso-fit-shape-to-text:t;">
            <w:txbxContent>
              <w:p w14:paraId="5679F465">
                <w:pPr>
                  <w:pStyle w:val="4"/>
                  <w:rPr>
                    <w:rFonts w:cs="Times New Roman"/>
                  </w:rPr>
                </w:pPr>
                <w:r>
                  <w:fldChar w:fldCharType="begin"/>
                </w:r>
                <w:r>
                  <w:instrText xml:space="preserve"> PAGE  \* MERGEFORMAT </w:instrText>
                </w:r>
                <w:r>
                  <w:fldChar w:fldCharType="separate"/>
                </w:r>
                <w:r>
                  <w:t>0</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7E6B5">
    <w:pPr>
      <w:pStyle w:val="4"/>
      <w:rPr>
        <w:rFonts w:cs="Times New Roman"/>
      </w:rPr>
    </w:pPr>
    <w:r>
      <w:pict>
        <v:shape id="文本框 3" o:spid="_x0000_s3073"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0lY7tAAAAAFAQAADwAAAAAAAAABACAAAAAi&#10;AAAAZHJzL2Rvd25yZXYueG1sUEsBAhQAFAAAAAgAh07iQLYqQ2bZAQAAsQMAAA4AAAAAAAAAAQAg&#10;AAAAHwEAAGRycy9lMm9Eb2MueG1sUEsFBgAAAAAGAAYAWQEAAGoFAAAAAA==&#10;">
          <v:path/>
          <v:fill on="f" focussize="0,0"/>
          <v:stroke on="f" weight="0.5pt" joinstyle="miter"/>
          <v:imagedata o:title=""/>
          <o:lock v:ext="edit"/>
          <v:textbox inset="0mm,0mm,0mm,0mm" style="mso-fit-shape-to-text:t;">
            <w:txbxContent>
              <w:p w14:paraId="7A333F0C">
                <w:pPr>
                  <w:pStyle w:val="4"/>
                  <w:rPr>
                    <w:rFonts w:cs="Times New Roman"/>
                  </w:rPr>
                </w:pPr>
                <w:r>
                  <w:fldChar w:fldCharType="begin"/>
                </w:r>
                <w:r>
                  <w:instrText xml:space="preserve"> PAGE  \* MERGEFORMAT </w:instrText>
                </w:r>
                <w:r>
                  <w:fldChar w:fldCharType="separate"/>
                </w:r>
                <w:r>
                  <w:t>32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282034"/>
    <w:multiLevelType w:val="singleLevel"/>
    <w:tmpl w:val="D4282034"/>
    <w:lvl w:ilvl="0" w:tentative="0">
      <w:start w:val="1"/>
      <w:numFmt w:val="decimal"/>
      <w:suff w:val="nothing"/>
      <w:lvlText w:val="（%1）"/>
      <w:lvlJc w:val="left"/>
    </w:lvl>
  </w:abstractNum>
  <w:abstractNum w:abstractNumId="1">
    <w:nsid w:val="F62EC587"/>
    <w:multiLevelType w:val="singleLevel"/>
    <w:tmpl w:val="F62EC587"/>
    <w:lvl w:ilvl="0" w:tentative="0">
      <w:start w:val="8"/>
      <w:numFmt w:val="decimal"/>
      <w:suff w:val="space"/>
      <w:lvlText w:val="%1."/>
      <w:lvlJc w:val="left"/>
    </w:lvl>
  </w:abstractNum>
  <w:abstractNum w:abstractNumId="2">
    <w:nsid w:val="292E6A69"/>
    <w:multiLevelType w:val="singleLevel"/>
    <w:tmpl w:val="292E6A69"/>
    <w:lvl w:ilvl="0" w:tentative="0">
      <w:start w:val="2"/>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6C827771"/>
    <w:rsid w:val="00030FD6"/>
    <w:rsid w:val="00040EDA"/>
    <w:rsid w:val="000543B9"/>
    <w:rsid w:val="0006509E"/>
    <w:rsid w:val="00082D46"/>
    <w:rsid w:val="00095CB1"/>
    <w:rsid w:val="001000CB"/>
    <w:rsid w:val="00111A87"/>
    <w:rsid w:val="0012034B"/>
    <w:rsid w:val="001841C3"/>
    <w:rsid w:val="00185CCF"/>
    <w:rsid w:val="001A1FF2"/>
    <w:rsid w:val="001B41CF"/>
    <w:rsid w:val="001C2212"/>
    <w:rsid w:val="001D7C97"/>
    <w:rsid w:val="001E7B84"/>
    <w:rsid w:val="00204BBB"/>
    <w:rsid w:val="002236CC"/>
    <w:rsid w:val="00237C50"/>
    <w:rsid w:val="00250F67"/>
    <w:rsid w:val="002642E9"/>
    <w:rsid w:val="00265B9F"/>
    <w:rsid w:val="00265C39"/>
    <w:rsid w:val="002773D1"/>
    <w:rsid w:val="002B4C48"/>
    <w:rsid w:val="002E0BE7"/>
    <w:rsid w:val="002E223D"/>
    <w:rsid w:val="002E4F05"/>
    <w:rsid w:val="002F0F90"/>
    <w:rsid w:val="00301A9B"/>
    <w:rsid w:val="00346DC8"/>
    <w:rsid w:val="00355D1E"/>
    <w:rsid w:val="00367450"/>
    <w:rsid w:val="00394FC3"/>
    <w:rsid w:val="003A3C5D"/>
    <w:rsid w:val="003A7626"/>
    <w:rsid w:val="003B3F96"/>
    <w:rsid w:val="003F4E11"/>
    <w:rsid w:val="0041671B"/>
    <w:rsid w:val="00425DC7"/>
    <w:rsid w:val="004301E0"/>
    <w:rsid w:val="00440A56"/>
    <w:rsid w:val="00482207"/>
    <w:rsid w:val="00483CB9"/>
    <w:rsid w:val="004941EC"/>
    <w:rsid w:val="004A1A42"/>
    <w:rsid w:val="004C5613"/>
    <w:rsid w:val="004C7D46"/>
    <w:rsid w:val="004D5738"/>
    <w:rsid w:val="00520792"/>
    <w:rsid w:val="00521483"/>
    <w:rsid w:val="00542BC9"/>
    <w:rsid w:val="005447D1"/>
    <w:rsid w:val="005546BF"/>
    <w:rsid w:val="00564985"/>
    <w:rsid w:val="00567FC9"/>
    <w:rsid w:val="0057255E"/>
    <w:rsid w:val="005748C9"/>
    <w:rsid w:val="00584BE0"/>
    <w:rsid w:val="005974E1"/>
    <w:rsid w:val="005C6EC3"/>
    <w:rsid w:val="005E445A"/>
    <w:rsid w:val="005F2FCB"/>
    <w:rsid w:val="005F7866"/>
    <w:rsid w:val="006000B3"/>
    <w:rsid w:val="00600554"/>
    <w:rsid w:val="006008C9"/>
    <w:rsid w:val="00612FC5"/>
    <w:rsid w:val="006155FD"/>
    <w:rsid w:val="00617E92"/>
    <w:rsid w:val="00620392"/>
    <w:rsid w:val="00651C1B"/>
    <w:rsid w:val="006530B9"/>
    <w:rsid w:val="006A07DE"/>
    <w:rsid w:val="006C3E57"/>
    <w:rsid w:val="006D75CD"/>
    <w:rsid w:val="00703FDC"/>
    <w:rsid w:val="00704AD0"/>
    <w:rsid w:val="00705A39"/>
    <w:rsid w:val="00712E02"/>
    <w:rsid w:val="00717B6A"/>
    <w:rsid w:val="00727770"/>
    <w:rsid w:val="00736F45"/>
    <w:rsid w:val="00751064"/>
    <w:rsid w:val="00797FD1"/>
    <w:rsid w:val="007D0954"/>
    <w:rsid w:val="007F376F"/>
    <w:rsid w:val="007F6FFC"/>
    <w:rsid w:val="00811576"/>
    <w:rsid w:val="00813782"/>
    <w:rsid w:val="008218BD"/>
    <w:rsid w:val="00862B01"/>
    <w:rsid w:val="00877274"/>
    <w:rsid w:val="008801DF"/>
    <w:rsid w:val="00882DBE"/>
    <w:rsid w:val="00884B4E"/>
    <w:rsid w:val="008946F9"/>
    <w:rsid w:val="008A121A"/>
    <w:rsid w:val="008A153A"/>
    <w:rsid w:val="008B49E7"/>
    <w:rsid w:val="008B7514"/>
    <w:rsid w:val="008C5419"/>
    <w:rsid w:val="008E1B5C"/>
    <w:rsid w:val="008E6B87"/>
    <w:rsid w:val="008F5E7E"/>
    <w:rsid w:val="00906386"/>
    <w:rsid w:val="00907AF8"/>
    <w:rsid w:val="00911173"/>
    <w:rsid w:val="00954D93"/>
    <w:rsid w:val="00955066"/>
    <w:rsid w:val="009639E3"/>
    <w:rsid w:val="00973DEF"/>
    <w:rsid w:val="00974DB2"/>
    <w:rsid w:val="00983DCD"/>
    <w:rsid w:val="009A55ED"/>
    <w:rsid w:val="009B449E"/>
    <w:rsid w:val="009D7DC4"/>
    <w:rsid w:val="009F4F86"/>
    <w:rsid w:val="00A154A0"/>
    <w:rsid w:val="00A43767"/>
    <w:rsid w:val="00A44835"/>
    <w:rsid w:val="00A55F7B"/>
    <w:rsid w:val="00A6061B"/>
    <w:rsid w:val="00A61391"/>
    <w:rsid w:val="00A70762"/>
    <w:rsid w:val="00A907AD"/>
    <w:rsid w:val="00AD347E"/>
    <w:rsid w:val="00AE0A6D"/>
    <w:rsid w:val="00AE1332"/>
    <w:rsid w:val="00B00B71"/>
    <w:rsid w:val="00B021C9"/>
    <w:rsid w:val="00B02EDA"/>
    <w:rsid w:val="00B05013"/>
    <w:rsid w:val="00B26F1F"/>
    <w:rsid w:val="00B43431"/>
    <w:rsid w:val="00B471FF"/>
    <w:rsid w:val="00B5102A"/>
    <w:rsid w:val="00BA5A84"/>
    <w:rsid w:val="00BB44A7"/>
    <w:rsid w:val="00BE530B"/>
    <w:rsid w:val="00BF55C7"/>
    <w:rsid w:val="00C17B9D"/>
    <w:rsid w:val="00C20205"/>
    <w:rsid w:val="00C54D53"/>
    <w:rsid w:val="00C61594"/>
    <w:rsid w:val="00C676DD"/>
    <w:rsid w:val="00C712A9"/>
    <w:rsid w:val="00C71AD7"/>
    <w:rsid w:val="00C74866"/>
    <w:rsid w:val="00C80A92"/>
    <w:rsid w:val="00C81989"/>
    <w:rsid w:val="00CA493C"/>
    <w:rsid w:val="00CB0C88"/>
    <w:rsid w:val="00CB1D46"/>
    <w:rsid w:val="00CC5F7D"/>
    <w:rsid w:val="00D003C5"/>
    <w:rsid w:val="00D34E8F"/>
    <w:rsid w:val="00D57FB6"/>
    <w:rsid w:val="00D647F1"/>
    <w:rsid w:val="00D77B12"/>
    <w:rsid w:val="00D95876"/>
    <w:rsid w:val="00D970C9"/>
    <w:rsid w:val="00DA1BA3"/>
    <w:rsid w:val="00DE4D42"/>
    <w:rsid w:val="00E11A5F"/>
    <w:rsid w:val="00E44379"/>
    <w:rsid w:val="00E70F65"/>
    <w:rsid w:val="00E82BB2"/>
    <w:rsid w:val="00E8692E"/>
    <w:rsid w:val="00EB0EB3"/>
    <w:rsid w:val="00EB3ECB"/>
    <w:rsid w:val="00EB6D88"/>
    <w:rsid w:val="00EC728A"/>
    <w:rsid w:val="00ED48EE"/>
    <w:rsid w:val="00F33640"/>
    <w:rsid w:val="00F42A35"/>
    <w:rsid w:val="00F76E44"/>
    <w:rsid w:val="00F80310"/>
    <w:rsid w:val="00FB2E46"/>
    <w:rsid w:val="00FC4C9E"/>
    <w:rsid w:val="00FD03E2"/>
    <w:rsid w:val="00FD33A8"/>
    <w:rsid w:val="00FE00AE"/>
    <w:rsid w:val="00FE224F"/>
    <w:rsid w:val="04937B59"/>
    <w:rsid w:val="049B3B79"/>
    <w:rsid w:val="06C25081"/>
    <w:rsid w:val="07512A42"/>
    <w:rsid w:val="0A264765"/>
    <w:rsid w:val="0B5E2753"/>
    <w:rsid w:val="0E0A1C7B"/>
    <w:rsid w:val="11812F1A"/>
    <w:rsid w:val="12C34482"/>
    <w:rsid w:val="146A1199"/>
    <w:rsid w:val="14881D09"/>
    <w:rsid w:val="15A821C3"/>
    <w:rsid w:val="163A7403"/>
    <w:rsid w:val="189E3DB3"/>
    <w:rsid w:val="19E831F9"/>
    <w:rsid w:val="1E485261"/>
    <w:rsid w:val="1E6C31DE"/>
    <w:rsid w:val="1EC97C3F"/>
    <w:rsid w:val="24D6564D"/>
    <w:rsid w:val="2A4474EE"/>
    <w:rsid w:val="2AA07F73"/>
    <w:rsid w:val="2BA26703"/>
    <w:rsid w:val="2C1D4AC2"/>
    <w:rsid w:val="2D867358"/>
    <w:rsid w:val="2DCA4F71"/>
    <w:rsid w:val="33217357"/>
    <w:rsid w:val="396722B8"/>
    <w:rsid w:val="39FD289C"/>
    <w:rsid w:val="3B2B0A9C"/>
    <w:rsid w:val="3D6F0BA3"/>
    <w:rsid w:val="3FA80945"/>
    <w:rsid w:val="3FA86C68"/>
    <w:rsid w:val="405A73FB"/>
    <w:rsid w:val="40CA5CA8"/>
    <w:rsid w:val="41CA1048"/>
    <w:rsid w:val="445E4103"/>
    <w:rsid w:val="44C73F93"/>
    <w:rsid w:val="4A656027"/>
    <w:rsid w:val="4A941E17"/>
    <w:rsid w:val="4C392D7D"/>
    <w:rsid w:val="4CE607B4"/>
    <w:rsid w:val="4DDE522D"/>
    <w:rsid w:val="4EA605D1"/>
    <w:rsid w:val="56A43DD4"/>
    <w:rsid w:val="57F06639"/>
    <w:rsid w:val="5D704A46"/>
    <w:rsid w:val="5E272577"/>
    <w:rsid w:val="632C7251"/>
    <w:rsid w:val="636E36D6"/>
    <w:rsid w:val="68BE74A8"/>
    <w:rsid w:val="6B425ABF"/>
    <w:rsid w:val="6BD62AB7"/>
    <w:rsid w:val="6C827771"/>
    <w:rsid w:val="70EF6804"/>
    <w:rsid w:val="751D5E0D"/>
    <w:rsid w:val="7A113467"/>
    <w:rsid w:val="7AF96363"/>
    <w:rsid w:val="7BDE4042"/>
    <w:rsid w:val="7C8E481E"/>
    <w:rsid w:val="7D536476"/>
    <w:rsid w:val="7EDE288A"/>
    <w:rsid w:val="7F1462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肘形连接符 30"/>
        <o:r id="V:Rule2" type="connector" idref="#直接箭头连接符 31"/>
        <o:r id="V:Rule3" type="connector" idref="#肘形连接符 39"/>
        <o:r id="V:Rule4" type="connector" idref="#直接箭头连接符 40"/>
        <o:r id="V:Rule5" type="connector" idref="#肘形连接符 41"/>
        <o:r id="V:Rule6" type="connector" idref="#直接箭头连接符 42"/>
        <o:r id="V:Rule7" type="connector" idref="#直接箭头连接符 43"/>
        <o:r id="V:Rule8" type="connector" idref="#AutoShape 10"/>
        <o:r id="V:Rule9" type="connector" idref="#AutoShape 11"/>
        <o:r id="V:Rule10" type="connector" idref="#AutoShape 19"/>
        <o:r id="V:Rule11" type="connector" idref="#AutoShape 20"/>
        <o:r id="V:Rule12" type="connector" idref="#AutoShape 21"/>
        <o:r id="V:Rule13" type="connector" idref="#AutoShape 22"/>
        <o:r id="V:Rule14" type="connector" idref="#AutoShape 2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99"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99"/>
    <w:pPr>
      <w:jc w:val="left"/>
    </w:pPr>
  </w:style>
  <w:style w:type="paragraph" w:styleId="3">
    <w:name w:val="Balloon Text"/>
    <w:basedOn w:val="1"/>
    <w:link w:val="12"/>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toc 1"/>
    <w:basedOn w:val="1"/>
    <w:next w:val="1"/>
    <w:semiHidden/>
    <w:qFormat/>
    <w:uiPriority w:val="99"/>
    <w:pPr>
      <w:widowControl/>
      <w:spacing w:after="100" w:line="259" w:lineRule="auto"/>
      <w:jc w:val="left"/>
    </w:pPr>
    <w:rPr>
      <w:rFonts w:ascii="??" w:hAnsi="??" w:cs="??"/>
      <w:kern w:val="0"/>
      <w:sz w:val="22"/>
      <w:szCs w:val="22"/>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annotation reference"/>
    <w:basedOn w:val="9"/>
    <w:semiHidden/>
    <w:unhideWhenUsed/>
    <w:qFormat/>
    <w:uiPriority w:val="0"/>
    <w:rPr>
      <w:sz w:val="21"/>
      <w:szCs w:val="21"/>
    </w:rPr>
  </w:style>
  <w:style w:type="paragraph" w:customStyle="1" w:styleId="11">
    <w:name w:val="列出段落1"/>
    <w:basedOn w:val="1"/>
    <w:qFormat/>
    <w:uiPriority w:val="99"/>
    <w:pPr>
      <w:ind w:firstLine="420" w:firstLineChars="200"/>
    </w:pPr>
  </w:style>
  <w:style w:type="character" w:customStyle="1" w:styleId="12">
    <w:name w:val="批注框文本 Char"/>
    <w:basedOn w:val="9"/>
    <w:link w:val="3"/>
    <w:qFormat/>
    <w:uiPriority w:val="0"/>
    <w:rPr>
      <w:rFonts w:ascii="Calibri" w:hAnsi="Calibri" w:eastAsia="宋体" w:cs="Calibri"/>
      <w:kern w:val="2"/>
      <w:sz w:val="18"/>
      <w:szCs w:val="18"/>
    </w:rPr>
  </w:style>
  <w:style w:type="character" w:customStyle="1" w:styleId="13">
    <w:name w:val="bjh-strong"/>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1026"/>
    <customShpInfo spid="_x0000_s3073"/>
    <customShpInfo spid="_x0000_s2070"/>
    <customShpInfo spid="_x0000_s2136"/>
    <customShpInfo spid="_x0000_s2137"/>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49"/>
    <customShpInfo spid="_x0000_s2150"/>
    <customShpInfo spid="_x0000_s2151"/>
    <customShpInfo spid="_x0000_s2152"/>
    <customShpInfo spid="_x0000_s2153"/>
    <customShpInfo spid="_x0000_s2154"/>
    <customShpInfo spid="_x0000_s2155"/>
    <customShpInfo spid="_x0000_s2138"/>
    <customShpInfo spid="_x0000_s2135"/>
    <customShpInfo spid="_x0000_s2071"/>
    <customShpInfo spid="_x0000_s2201"/>
    <customShpInfo spid="_x0000_s2203"/>
    <customShpInfo spid="_x0000_s2204"/>
    <customShpInfo spid="_x0000_s2205"/>
    <customShpInfo spid="_x0000_s2206"/>
    <customShpInfo spid="_x0000_s2207"/>
    <customShpInfo spid="_x0000_s2208"/>
    <customShpInfo spid="_x0000_s2209"/>
    <customShpInfo spid="_x0000_s2210"/>
    <customShpInfo spid="_x0000_s2211"/>
    <customShpInfo spid="_x0000_s2212"/>
    <customShpInfo spid="_x0000_s2213"/>
    <customShpInfo spid="_x0000_s2214"/>
    <customShpInfo spid="_x0000_s2215"/>
    <customShpInfo spid="_x0000_s2216"/>
    <customShpInfo spid="_x0000_s2217"/>
    <customShpInfo spid="_x0000_s2218"/>
    <customShpInfo spid="_x0000_s2219"/>
    <customShpInfo spid="_x0000_s2220"/>
    <customShpInfo spid="_x0000_s2221"/>
    <customShpInfo spid="_x0000_s2202"/>
    <customShpInfo spid="_x0000_s22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3395</Words>
  <Characters>3525</Characters>
  <Lines>121</Lines>
  <Paragraphs>34</Paragraphs>
  <TotalTime>219</TotalTime>
  <ScaleCrop>false</ScaleCrop>
  <LinksUpToDate>false</LinksUpToDate>
  <CharactersWithSpaces>3557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2021-09-27T10:13:00Z</dcterms:created>
  <dc:creator>连心</dc:creator>
  <cp:lastModifiedBy>HeySeventeen</cp:lastModifiedBy>
  <dcterms:modified xsi:type="dcterms:W3CDTF">2025-03-14T09:47:53Z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1BE0608C49EB4AAE995351E561B586E9</vt:lpwstr>
  </property>
  <property fmtid="{D5CDD505-2E9C-101B-9397-08002B2CF9AE}" pid="4" name="KSOTemplateDocerSaveRecord">
    <vt:lpwstr>eyJoZGlkIjoiMzRlMDUwNmQ0NzA0YTVjMzg1YWNjMTkwMjBjZGQ0ZGQiLCJ1c2VySWQiOiIzMTg3MjAzMzcifQ==</vt:lpwstr>
  </property>
</Properties>
</file>