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60236C">
      <w:pPr>
        <w:spacing w:afterLines="50" w:line="560" w:lineRule="exact"/>
        <w:rPr>
          <w:rFonts w:ascii="宋体" w:hAnsi="宋体"/>
          <w:b/>
          <w:color w:val="000000" w:themeColor="text1"/>
          <w:sz w:val="28"/>
          <w:szCs w:val="28"/>
        </w:rPr>
      </w:pPr>
    </w:p>
    <w:p w14:paraId="0B51ACE8">
      <w:pPr>
        <w:spacing w:afterLines="50" w:line="560" w:lineRule="exact"/>
        <w:jc w:val="center"/>
        <w:rPr>
          <w:rFonts w:ascii="方正小标宋简体" w:hAnsi="宋体" w:eastAsia="方正小标宋简体"/>
          <w:b/>
          <w:color w:val="000000" w:themeColor="text1"/>
          <w:sz w:val="44"/>
          <w:szCs w:val="44"/>
        </w:rPr>
      </w:pPr>
    </w:p>
    <w:p w14:paraId="7B53E1C7">
      <w:pPr>
        <w:spacing w:afterLines="50" w:line="560" w:lineRule="exact"/>
        <w:jc w:val="center"/>
        <w:rPr>
          <w:rFonts w:ascii="方正小标宋简体" w:hAnsi="宋体" w:eastAsia="方正小标宋简体"/>
          <w:b/>
          <w:color w:val="000000" w:themeColor="text1"/>
          <w:sz w:val="44"/>
          <w:szCs w:val="44"/>
        </w:rPr>
      </w:pPr>
    </w:p>
    <w:p w14:paraId="6B20E196">
      <w:pPr>
        <w:spacing w:afterLines="50" w:line="560" w:lineRule="exact"/>
        <w:jc w:val="center"/>
        <w:rPr>
          <w:rFonts w:ascii="方正小标宋简体" w:hAnsi="宋体" w:eastAsia="方正小标宋简体"/>
          <w:b/>
          <w:color w:val="000000" w:themeColor="text1"/>
          <w:sz w:val="52"/>
          <w:szCs w:val="52"/>
        </w:rPr>
      </w:pPr>
    </w:p>
    <w:p w14:paraId="30FB0DC5">
      <w:pPr>
        <w:spacing w:afterLines="50" w:line="560" w:lineRule="exact"/>
        <w:jc w:val="center"/>
        <w:rPr>
          <w:rFonts w:ascii="方正小标宋简体" w:hAnsi="宋体" w:eastAsia="方正小标宋简体"/>
          <w:b/>
          <w:color w:val="000000" w:themeColor="text1"/>
          <w:sz w:val="52"/>
          <w:szCs w:val="52"/>
        </w:rPr>
      </w:pPr>
      <w:r>
        <w:rPr>
          <w:rFonts w:hint="eastAsia" w:ascii="方正小标宋简体" w:hAnsi="宋体" w:eastAsia="方正小标宋简体"/>
          <w:b/>
          <w:color w:val="000000" w:themeColor="text1"/>
          <w:sz w:val="52"/>
          <w:szCs w:val="52"/>
        </w:rPr>
        <w:t>学位授权点</w:t>
      </w:r>
      <w:r>
        <w:rPr>
          <w:rFonts w:hint="eastAsia" w:ascii="方正小标宋简体" w:hAnsi="宋体" w:eastAsia="方正小标宋简体"/>
          <w:b/>
          <w:color w:val="000000" w:themeColor="text1"/>
          <w:sz w:val="52"/>
          <w:szCs w:val="52"/>
          <w:lang w:val="en-US" w:eastAsia="zh-CN"/>
        </w:rPr>
        <w:t>建设年度</w:t>
      </w:r>
      <w:r>
        <w:rPr>
          <w:rFonts w:hint="eastAsia" w:ascii="方正小标宋简体" w:hAnsi="宋体" w:eastAsia="方正小标宋简体"/>
          <w:b/>
          <w:color w:val="000000" w:themeColor="text1"/>
          <w:sz w:val="52"/>
          <w:szCs w:val="52"/>
        </w:rPr>
        <w:t>报告</w:t>
      </w:r>
    </w:p>
    <w:p w14:paraId="09A7FB14">
      <w:pPr>
        <w:spacing w:afterLines="50" w:line="560" w:lineRule="exact"/>
        <w:jc w:val="center"/>
        <w:rPr>
          <w:rFonts w:ascii="方正小标宋简体" w:hAnsi="宋体" w:eastAsia="方正小标宋简体"/>
          <w:b/>
          <w:color w:val="000000" w:themeColor="text1"/>
          <w:sz w:val="52"/>
          <w:szCs w:val="52"/>
        </w:rPr>
      </w:pPr>
      <w:r>
        <w:rPr>
          <w:rFonts w:hint="eastAsia" w:ascii="方正小标宋简体" w:hAnsi="宋体" w:eastAsia="方正小标宋简体"/>
          <w:b/>
          <w:color w:val="000000" w:themeColor="text1"/>
          <w:sz w:val="52"/>
          <w:szCs w:val="52"/>
        </w:rPr>
        <w:t>（</w:t>
      </w:r>
      <w:r>
        <w:rPr>
          <w:rFonts w:hint="eastAsia" w:ascii="楷体" w:hAnsi="楷体" w:eastAsia="楷体" w:cs="楷体"/>
          <w:bCs/>
          <w:color w:val="000000" w:themeColor="text1"/>
          <w:sz w:val="32"/>
          <w:szCs w:val="32"/>
          <w:lang w:val="en-US" w:eastAsia="zh-CN"/>
        </w:rPr>
        <w:t>2020年</w:t>
      </w:r>
      <w:r>
        <w:rPr>
          <w:rFonts w:hint="eastAsia" w:ascii="方正小标宋简体" w:hAnsi="宋体" w:eastAsia="方正小标宋简体"/>
          <w:b/>
          <w:color w:val="000000" w:themeColor="text1"/>
          <w:sz w:val="52"/>
          <w:szCs w:val="52"/>
        </w:rPr>
        <w:t>）</w:t>
      </w:r>
    </w:p>
    <w:p w14:paraId="58AA5F3C">
      <w:pPr>
        <w:spacing w:afterLines="50" w:line="560" w:lineRule="exact"/>
        <w:jc w:val="center"/>
        <w:rPr>
          <w:rFonts w:ascii="方正小标宋简体" w:hAnsi="宋体" w:eastAsia="方正小标宋简体"/>
          <w:b/>
          <w:color w:val="000000" w:themeColor="text1"/>
          <w:sz w:val="44"/>
          <w:szCs w:val="44"/>
        </w:rPr>
      </w:pPr>
    </w:p>
    <w:p w14:paraId="33790110">
      <w:pPr>
        <w:spacing w:afterLines="50" w:line="560" w:lineRule="exact"/>
        <w:jc w:val="center"/>
        <w:rPr>
          <w:rFonts w:ascii="方正小标宋简体" w:hAnsi="宋体" w:eastAsia="方正小标宋简体"/>
          <w:b/>
          <w:color w:val="000000" w:themeColor="text1"/>
          <w:sz w:val="44"/>
          <w:szCs w:val="44"/>
        </w:rPr>
      </w:pPr>
    </w:p>
    <w:p w14:paraId="0043FF0A">
      <w:pPr>
        <w:spacing w:afterLines="50" w:line="560" w:lineRule="exact"/>
        <w:jc w:val="center"/>
        <w:rPr>
          <w:rFonts w:ascii="方正小标宋简体" w:hAnsi="宋体" w:eastAsia="方正小标宋简体"/>
          <w:b/>
          <w:color w:val="000000" w:themeColor="text1"/>
          <w:sz w:val="44"/>
          <w:szCs w:val="44"/>
        </w:rPr>
      </w:pPr>
    </w:p>
    <w:tbl>
      <w:tblPr>
        <w:tblStyle w:val="8"/>
        <w:tblW w:w="0" w:type="auto"/>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2160"/>
        <w:gridCol w:w="2880"/>
      </w:tblGrid>
      <w:tr w14:paraId="63C05D71">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vAlign w:val="center"/>
          </w:tcPr>
          <w:p w14:paraId="5562A0B7">
            <w:pPr>
              <w:spacing w:line="200" w:lineRule="atLeast"/>
              <w:jc w:val="distribute"/>
              <w:rPr>
                <w:rFonts w:eastAsia="KaiTi_GB2312"/>
                <w:b/>
                <w:color w:val="000000" w:themeColor="text1"/>
                <w:sz w:val="30"/>
                <w:szCs w:val="30"/>
              </w:rPr>
            </w:pPr>
            <w:r>
              <w:rPr>
                <w:rFonts w:hint="eastAsia" w:eastAsia="KaiTi_GB2312"/>
                <w:b/>
                <w:color w:val="000000" w:themeColor="text1"/>
                <w:sz w:val="30"/>
                <w:szCs w:val="30"/>
              </w:rPr>
              <w:t>学位授予单位</w:t>
            </w:r>
          </w:p>
        </w:tc>
        <w:tc>
          <w:tcPr>
            <w:tcW w:w="2880" w:type="dxa"/>
            <w:tcBorders>
              <w:bottom w:val="single" w:color="auto" w:sz="4" w:space="0"/>
            </w:tcBorders>
            <w:vAlign w:val="center"/>
          </w:tcPr>
          <w:p w14:paraId="7A446038">
            <w:pPr>
              <w:rPr>
                <w:rFonts w:eastAsia="KaiTi_GB2312"/>
                <w:b/>
                <w:color w:val="000000" w:themeColor="text1"/>
                <w:sz w:val="30"/>
                <w:szCs w:val="30"/>
              </w:rPr>
            </w:pPr>
            <w:r>
              <w:rPr>
                <w:rFonts w:eastAsia="KaiTi_GB2312"/>
                <w:b/>
                <w:color w:val="000000" w:themeColor="text1"/>
                <w:sz w:val="30"/>
                <w:szCs w:val="30"/>
              </w:rPr>
              <w:t>名称：</w:t>
            </w:r>
            <w:r>
              <w:rPr>
                <w:rFonts w:hint="eastAsia" w:eastAsia="KaiTi_GB2312"/>
                <w:b/>
                <w:color w:val="000000" w:themeColor="text1"/>
                <w:sz w:val="30"/>
                <w:szCs w:val="30"/>
              </w:rPr>
              <w:t>暨南大学</w:t>
            </w:r>
          </w:p>
        </w:tc>
      </w:tr>
      <w:tr w14:paraId="399E481A">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tcPr>
          <w:p w14:paraId="2A2433C1">
            <w:pPr>
              <w:jc w:val="center"/>
              <w:rPr>
                <w:rFonts w:eastAsia="KaiTi_GB2312"/>
                <w:b/>
                <w:color w:val="000000" w:themeColor="text1"/>
                <w:sz w:val="30"/>
                <w:szCs w:val="30"/>
              </w:rPr>
            </w:pPr>
          </w:p>
        </w:tc>
        <w:tc>
          <w:tcPr>
            <w:tcW w:w="2880" w:type="dxa"/>
            <w:tcBorders>
              <w:top w:val="single" w:color="auto" w:sz="4" w:space="0"/>
            </w:tcBorders>
            <w:vAlign w:val="center"/>
          </w:tcPr>
          <w:p w14:paraId="17C03836">
            <w:pPr>
              <w:rPr>
                <w:rFonts w:eastAsia="KaiTi_GB2312"/>
                <w:b/>
                <w:color w:val="000000" w:themeColor="text1"/>
                <w:sz w:val="30"/>
                <w:szCs w:val="30"/>
              </w:rPr>
            </w:pPr>
            <w:r>
              <w:rPr>
                <w:rFonts w:eastAsia="KaiTi_GB2312"/>
                <w:b/>
                <w:color w:val="000000" w:themeColor="text1"/>
                <w:sz w:val="30"/>
                <w:szCs w:val="30"/>
              </w:rPr>
              <w:t>代码：</w:t>
            </w:r>
            <w:r>
              <w:rPr>
                <w:rFonts w:hint="eastAsia" w:eastAsia="KaiTi_GB2312"/>
                <w:b/>
                <w:color w:val="000000" w:themeColor="text1"/>
                <w:sz w:val="30"/>
                <w:szCs w:val="30"/>
              </w:rPr>
              <w:t>10559</w:t>
            </w:r>
          </w:p>
        </w:tc>
      </w:tr>
    </w:tbl>
    <w:p w14:paraId="58FD03C1">
      <w:pPr>
        <w:spacing w:line="720" w:lineRule="auto"/>
        <w:jc w:val="center"/>
        <w:rPr>
          <w:rFonts w:eastAsia="KaiTi_GB2312"/>
          <w:b/>
          <w:color w:val="000000" w:themeColor="text1"/>
          <w:sz w:val="30"/>
          <w:szCs w:val="30"/>
        </w:rPr>
      </w:pPr>
    </w:p>
    <w:tbl>
      <w:tblPr>
        <w:tblStyle w:val="8"/>
        <w:tblW w:w="0" w:type="auto"/>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2160"/>
        <w:gridCol w:w="2880"/>
      </w:tblGrid>
      <w:tr w14:paraId="289081BE">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vAlign w:val="center"/>
          </w:tcPr>
          <w:p w14:paraId="1CE69ED2">
            <w:pPr>
              <w:jc w:val="distribute"/>
              <w:rPr>
                <w:rFonts w:eastAsia="KaiTi_GB2312"/>
                <w:b/>
                <w:color w:val="000000" w:themeColor="text1"/>
                <w:sz w:val="30"/>
                <w:szCs w:val="30"/>
              </w:rPr>
            </w:pPr>
            <w:r>
              <w:rPr>
                <w:rFonts w:hint="eastAsia" w:eastAsia="KaiTi_GB2312"/>
                <w:b/>
                <w:color w:val="000000" w:themeColor="text1"/>
                <w:sz w:val="30"/>
                <w:szCs w:val="30"/>
              </w:rPr>
              <w:t>授权</w:t>
            </w:r>
            <w:r>
              <w:rPr>
                <w:rFonts w:eastAsia="KaiTi_GB2312"/>
                <w:b/>
                <w:color w:val="000000" w:themeColor="text1"/>
                <w:sz w:val="30"/>
                <w:szCs w:val="30"/>
              </w:rPr>
              <w:t>学科</w:t>
            </w:r>
          </w:p>
          <w:p w14:paraId="32CA7D1E">
            <w:pPr>
              <w:jc w:val="distribute"/>
              <w:rPr>
                <w:rFonts w:eastAsia="KaiTi_GB2312"/>
                <w:b/>
                <w:color w:val="000000" w:themeColor="text1"/>
                <w:sz w:val="30"/>
                <w:szCs w:val="30"/>
              </w:rPr>
            </w:pPr>
            <w:r>
              <w:rPr>
                <w:rFonts w:hint="eastAsia" w:eastAsia="KaiTi_GB2312"/>
                <w:b/>
                <w:color w:val="000000" w:themeColor="text1"/>
                <w:sz w:val="30"/>
                <w:szCs w:val="30"/>
              </w:rPr>
              <w:t>（类别）</w:t>
            </w:r>
          </w:p>
        </w:tc>
        <w:tc>
          <w:tcPr>
            <w:tcW w:w="2880" w:type="dxa"/>
            <w:tcBorders>
              <w:bottom w:val="single" w:color="auto" w:sz="4" w:space="0"/>
            </w:tcBorders>
            <w:vAlign w:val="center"/>
          </w:tcPr>
          <w:p w14:paraId="0EAF6862">
            <w:pPr>
              <w:rPr>
                <w:rFonts w:eastAsia="KaiTi_GB2312"/>
                <w:b/>
                <w:color w:val="000000" w:themeColor="text1"/>
                <w:sz w:val="30"/>
                <w:szCs w:val="30"/>
              </w:rPr>
            </w:pPr>
            <w:r>
              <w:rPr>
                <w:rFonts w:eastAsia="KaiTi_GB2312"/>
                <w:b/>
                <w:color w:val="000000" w:themeColor="text1"/>
                <w:sz w:val="30"/>
                <w:szCs w:val="30"/>
              </w:rPr>
              <w:t>名称：</w:t>
            </w:r>
            <w:r>
              <w:rPr>
                <w:rFonts w:hint="eastAsia" w:eastAsia="KaiTi_GB2312"/>
                <w:b/>
                <w:color w:val="000000" w:themeColor="text1"/>
                <w:sz w:val="30"/>
                <w:szCs w:val="30"/>
              </w:rPr>
              <w:t>工商管理</w:t>
            </w:r>
          </w:p>
        </w:tc>
      </w:tr>
      <w:tr w14:paraId="1EBD3B21">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tcPr>
          <w:p w14:paraId="30F069A3">
            <w:pPr>
              <w:jc w:val="center"/>
              <w:rPr>
                <w:rFonts w:eastAsia="KaiTi_GB2312"/>
                <w:b/>
                <w:color w:val="000000" w:themeColor="text1"/>
                <w:sz w:val="30"/>
                <w:szCs w:val="30"/>
              </w:rPr>
            </w:pPr>
          </w:p>
        </w:tc>
        <w:tc>
          <w:tcPr>
            <w:tcW w:w="2880" w:type="dxa"/>
            <w:tcBorders>
              <w:top w:val="single" w:color="auto" w:sz="4" w:space="0"/>
            </w:tcBorders>
            <w:vAlign w:val="center"/>
          </w:tcPr>
          <w:p w14:paraId="2BB20F59">
            <w:pPr>
              <w:rPr>
                <w:rFonts w:eastAsia="KaiTi_GB2312"/>
                <w:b/>
                <w:color w:val="000000" w:themeColor="text1"/>
                <w:sz w:val="30"/>
                <w:szCs w:val="30"/>
              </w:rPr>
            </w:pPr>
            <w:r>
              <w:rPr>
                <w:rFonts w:eastAsia="KaiTi_GB2312"/>
                <w:b/>
                <w:color w:val="000000" w:themeColor="text1"/>
                <w:sz w:val="30"/>
                <w:szCs w:val="30"/>
              </w:rPr>
              <w:t>代码：</w:t>
            </w:r>
            <w:r>
              <w:rPr>
                <w:rFonts w:hint="eastAsia" w:eastAsia="KaiTi_GB2312"/>
                <w:b/>
                <w:color w:val="000000" w:themeColor="text1"/>
                <w:sz w:val="30"/>
                <w:szCs w:val="30"/>
              </w:rPr>
              <w:t>12510</w:t>
            </w:r>
          </w:p>
        </w:tc>
      </w:tr>
    </w:tbl>
    <w:p w14:paraId="1EB2B338">
      <w:pPr>
        <w:spacing w:line="720" w:lineRule="auto"/>
        <w:jc w:val="center"/>
        <w:rPr>
          <w:rFonts w:eastAsia="KaiTi_GB2312"/>
          <w:b/>
          <w:color w:val="000000" w:themeColor="text1"/>
          <w:sz w:val="30"/>
          <w:szCs w:val="30"/>
        </w:rPr>
      </w:pPr>
    </w:p>
    <w:tbl>
      <w:tblPr>
        <w:tblStyle w:val="8"/>
        <w:tblW w:w="0" w:type="auto"/>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2160"/>
        <w:gridCol w:w="2880"/>
      </w:tblGrid>
      <w:tr w14:paraId="0564FA4D">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vAlign w:val="center"/>
          </w:tcPr>
          <w:p w14:paraId="7522B23B">
            <w:pPr>
              <w:jc w:val="distribute"/>
              <w:rPr>
                <w:rFonts w:eastAsia="KaiTi_GB2312"/>
                <w:b/>
                <w:color w:val="000000" w:themeColor="text1"/>
                <w:sz w:val="30"/>
                <w:szCs w:val="30"/>
              </w:rPr>
            </w:pPr>
            <w:r>
              <w:rPr>
                <w:rFonts w:hint="eastAsia" w:eastAsia="KaiTi_GB2312"/>
                <w:b/>
                <w:color w:val="000000" w:themeColor="text1"/>
                <w:sz w:val="30"/>
                <w:szCs w:val="30"/>
              </w:rPr>
              <w:t>授权级别</w:t>
            </w:r>
          </w:p>
        </w:tc>
        <w:tc>
          <w:tcPr>
            <w:tcW w:w="2880" w:type="dxa"/>
            <w:tcBorders>
              <w:bottom w:val="single" w:color="auto" w:sz="4" w:space="0"/>
            </w:tcBorders>
            <w:vAlign w:val="center"/>
          </w:tcPr>
          <w:p w14:paraId="71E652E3">
            <w:pPr>
              <w:rPr>
                <w:rFonts w:eastAsia="KaiTi_GB2312"/>
                <w:b/>
                <w:color w:val="000000" w:themeColor="text1"/>
                <w:sz w:val="30"/>
                <w:szCs w:val="30"/>
              </w:rPr>
            </w:pPr>
            <w:r>
              <w:rPr>
                <w:rFonts w:hint="eastAsia" w:eastAsia="KaiTi_GB2312"/>
                <w:b/>
                <w:color w:val="000000" w:themeColor="text1"/>
                <w:sz w:val="30"/>
                <w:szCs w:val="30"/>
              </w:rPr>
              <w:t>□  博  士</w:t>
            </w:r>
          </w:p>
        </w:tc>
      </w:tr>
      <w:tr w14:paraId="4A075502">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tcPr>
          <w:p w14:paraId="6DEFE034">
            <w:pPr>
              <w:jc w:val="center"/>
              <w:rPr>
                <w:rFonts w:eastAsia="KaiTi_GB2312"/>
                <w:b/>
                <w:color w:val="000000" w:themeColor="text1"/>
                <w:sz w:val="30"/>
                <w:szCs w:val="30"/>
              </w:rPr>
            </w:pPr>
          </w:p>
        </w:tc>
        <w:tc>
          <w:tcPr>
            <w:tcW w:w="2880" w:type="dxa"/>
            <w:tcBorders>
              <w:top w:val="single" w:color="auto" w:sz="4" w:space="0"/>
            </w:tcBorders>
            <w:vAlign w:val="center"/>
          </w:tcPr>
          <w:p w14:paraId="0F10A994">
            <w:pPr>
              <w:rPr>
                <w:rFonts w:eastAsia="KaiTi_GB2312"/>
                <w:b/>
                <w:color w:val="000000" w:themeColor="text1"/>
                <w:sz w:val="30"/>
                <w:szCs w:val="30"/>
              </w:rPr>
            </w:pPr>
            <w:r>
              <w:rPr>
                <w:rFonts w:hint="eastAsia" w:ascii="KaiTi_GB2312" w:hAnsi="KaiTi_GB2312" w:eastAsia="KaiTi_GB2312"/>
                <w:b/>
                <w:color w:val="000000" w:themeColor="text1"/>
                <w:sz w:val="30"/>
                <w:szCs w:val="30"/>
              </w:rPr>
              <w:sym w:font="Wingdings 2" w:char="F052"/>
            </w:r>
            <w:r>
              <w:rPr>
                <w:rFonts w:hint="eastAsia" w:eastAsia="KaiTi_GB2312"/>
                <w:b/>
                <w:color w:val="000000" w:themeColor="text1"/>
                <w:sz w:val="30"/>
                <w:szCs w:val="30"/>
              </w:rPr>
              <w:t xml:space="preserve">  硕  士</w:t>
            </w:r>
          </w:p>
        </w:tc>
      </w:tr>
    </w:tbl>
    <w:p w14:paraId="582C4F30">
      <w:pPr>
        <w:spacing w:line="720" w:lineRule="auto"/>
        <w:jc w:val="center"/>
        <w:rPr>
          <w:rFonts w:eastAsia="KaiTi_GB2312"/>
          <w:b/>
          <w:color w:val="000000" w:themeColor="text1"/>
          <w:sz w:val="30"/>
          <w:szCs w:val="30"/>
        </w:rPr>
      </w:pPr>
    </w:p>
    <w:p w14:paraId="6BC30E91">
      <w:pPr>
        <w:jc w:val="center"/>
        <w:rPr>
          <w:rFonts w:eastAsia="KaiTi_GB2312"/>
          <w:b/>
          <w:color w:val="000000" w:themeColor="text1"/>
          <w:sz w:val="30"/>
          <w:szCs w:val="30"/>
        </w:rPr>
      </w:pPr>
      <w:r>
        <w:rPr>
          <w:rFonts w:eastAsia="KaiTi_GB2312"/>
          <w:b/>
          <w:color w:val="000000" w:themeColor="text1"/>
          <w:sz w:val="30"/>
          <w:szCs w:val="30"/>
        </w:rPr>
        <w:t>202</w:t>
      </w:r>
      <w:r>
        <w:rPr>
          <w:rFonts w:hint="eastAsia" w:eastAsia="KaiTi_GB2312"/>
          <w:b/>
          <w:color w:val="000000" w:themeColor="text1"/>
          <w:sz w:val="30"/>
          <w:szCs w:val="30"/>
          <w:lang w:val="en-US" w:eastAsia="zh-CN"/>
        </w:rPr>
        <w:t>0</w:t>
      </w:r>
      <w:r>
        <w:rPr>
          <w:rFonts w:hint="eastAsia" w:eastAsia="KaiTi_GB2312"/>
          <w:b/>
          <w:color w:val="000000" w:themeColor="text1"/>
          <w:sz w:val="30"/>
          <w:szCs w:val="30"/>
        </w:rPr>
        <w:t xml:space="preserve">  </w:t>
      </w:r>
      <w:r>
        <w:rPr>
          <w:rFonts w:eastAsia="KaiTi_GB2312"/>
          <w:b/>
          <w:color w:val="000000" w:themeColor="text1"/>
          <w:sz w:val="30"/>
          <w:szCs w:val="30"/>
        </w:rPr>
        <w:t xml:space="preserve">年 </w:t>
      </w:r>
    </w:p>
    <w:p w14:paraId="7D14DAE7">
      <w:pPr>
        <w:spacing w:afterLines="50" w:line="400" w:lineRule="exact"/>
        <w:jc w:val="center"/>
        <w:rPr>
          <w:rFonts w:hint="eastAsia" w:eastAsia="KaiTi_GB2312"/>
          <w:b/>
          <w:color w:val="000000" w:themeColor="text1"/>
          <w:sz w:val="32"/>
          <w:szCs w:val="32"/>
        </w:rPr>
        <w:sectPr>
          <w:headerReference r:id="rId3" w:type="first"/>
          <w:pgSz w:w="11906" w:h="16838"/>
          <w:pgMar w:top="1440" w:right="1797" w:bottom="1440" w:left="1797" w:header="851" w:footer="992" w:gutter="0"/>
          <w:pgNumType w:start="0"/>
          <w:cols w:space="425" w:num="1"/>
          <w:titlePg/>
          <w:docGrid w:type="lines" w:linePitch="312" w:charSpace="0"/>
        </w:sectPr>
      </w:pPr>
    </w:p>
    <w:p w14:paraId="342A69C8">
      <w:pPr>
        <w:spacing w:afterLines="50" w:line="400" w:lineRule="exact"/>
        <w:jc w:val="center"/>
        <w:rPr>
          <w:rFonts w:eastAsia="KaiTi_GB2312"/>
          <w:b/>
          <w:color w:val="000000" w:themeColor="text1"/>
          <w:sz w:val="32"/>
          <w:szCs w:val="32"/>
        </w:rPr>
      </w:pPr>
      <w:r>
        <w:rPr>
          <w:rFonts w:hint="eastAsia" w:eastAsia="KaiTi_GB2312"/>
          <w:b/>
          <w:color w:val="000000" w:themeColor="text1"/>
          <w:sz w:val="32"/>
          <w:szCs w:val="32"/>
        </w:rPr>
        <w:t>编 写 说 明</w:t>
      </w:r>
    </w:p>
    <w:p w14:paraId="5FF571A9">
      <w:pPr>
        <w:spacing w:afterLines="50" w:line="400" w:lineRule="exact"/>
        <w:jc w:val="center"/>
        <w:rPr>
          <w:rFonts w:eastAsia="KaiTi_GB2312"/>
          <w:b/>
          <w:color w:val="000000" w:themeColor="text1"/>
          <w:sz w:val="32"/>
          <w:szCs w:val="32"/>
        </w:rPr>
      </w:pPr>
    </w:p>
    <w:p w14:paraId="01956FA6">
      <w:pPr>
        <w:spacing w:line="400" w:lineRule="exact"/>
        <w:ind w:firstLine="480" w:firstLineChars="200"/>
        <w:rPr>
          <w:rFonts w:eastAsia="FangSong_GB2312"/>
          <w:color w:val="000000" w:themeColor="text1"/>
          <w:sz w:val="24"/>
        </w:rPr>
      </w:pPr>
      <w:r>
        <w:rPr>
          <w:rFonts w:hint="eastAsia" w:eastAsia="FangSong_GB2312"/>
          <w:color w:val="000000" w:themeColor="text1"/>
          <w:sz w:val="24"/>
        </w:rPr>
        <w:t>一、本报告是在学位授权点完成自我评估后，根据自我评估结果和专家评议意见，对学位授权点的全面总结，分为三个部分：学位授权点基本情况、自我评估工作开展情况和持续改进计划。</w:t>
      </w:r>
    </w:p>
    <w:p w14:paraId="4608FF65">
      <w:pPr>
        <w:spacing w:line="400" w:lineRule="exact"/>
        <w:ind w:firstLine="480" w:firstLineChars="200"/>
        <w:rPr>
          <w:rFonts w:eastAsia="FangSong_GB2312"/>
          <w:color w:val="000000" w:themeColor="text1"/>
          <w:sz w:val="24"/>
        </w:rPr>
      </w:pPr>
      <w:r>
        <w:rPr>
          <w:rFonts w:hint="eastAsia" w:eastAsia="FangSong_GB2312"/>
          <w:color w:val="000000" w:themeColor="text1"/>
          <w:sz w:val="24"/>
        </w:rPr>
        <w:t>二、本报告按学术学位授权点和专业学位授权点分别编写，同时获得博士、硕士学位授权的学科或专业学位类别，只编写一份总结报告。</w:t>
      </w:r>
    </w:p>
    <w:p w14:paraId="730B6626">
      <w:pPr>
        <w:spacing w:line="400" w:lineRule="exact"/>
        <w:ind w:firstLine="480" w:firstLineChars="200"/>
        <w:rPr>
          <w:rFonts w:eastAsia="FangSong_GB2312"/>
          <w:color w:val="000000" w:themeColor="text1"/>
          <w:sz w:val="24"/>
        </w:rPr>
      </w:pPr>
      <w:r>
        <w:rPr>
          <w:rFonts w:hint="eastAsia" w:eastAsia="FangSong_GB2312"/>
          <w:color w:val="000000" w:themeColor="text1"/>
          <w:sz w:val="24"/>
        </w:rPr>
        <w:t>三、封面中单位代码按照《高等学校和科研机构学位与研究生管理信息标准》（国务院学位委员会办公室编， 2004 月北京大学出版社出版）中教育部《高等学校代码》（包括高等学校与科研机构）填写，学术学位授权点的学科名称及代码按照国务院学位委员会和教育部 2011 年印发、2018年修订的《学位授予和人才培养学科目录》填写，只有二级学科学位授权点的，授权学科名称及代码按照国务院学位委员会和原国家教育委员会 1997 年颁布的《授予博士、硕士学位和培养研究生的学科、专业目录》填写；专业学位</w:t>
      </w:r>
      <w:r>
        <w:rPr>
          <w:rFonts w:hint="eastAsia" w:eastAsia="FangSong_GB2312"/>
          <w:color w:val="000000" w:themeColor="text1"/>
          <w:sz w:val="24"/>
          <w:lang w:val="en-US" w:eastAsia="zh-CN"/>
        </w:rPr>
        <w:t>授</w:t>
      </w:r>
      <w:r>
        <w:rPr>
          <w:rFonts w:hint="eastAsia" w:eastAsia="FangSong_GB2312"/>
          <w:color w:val="000000" w:themeColor="text1"/>
          <w:sz w:val="24"/>
        </w:rPr>
        <w:t>权点的类别名称及代码按照国务院学位委员会、教育部 2011 年印发的《专业学位授予和人才培养目录》填写；同时获得博士、硕士学位授权的学科，授权级别选“博士”。</w:t>
      </w:r>
    </w:p>
    <w:p w14:paraId="0DD85309">
      <w:pPr>
        <w:spacing w:line="400" w:lineRule="exact"/>
        <w:ind w:firstLine="480" w:firstLineChars="200"/>
        <w:rPr>
          <w:rFonts w:eastAsia="FangSong_GB2312"/>
          <w:color w:val="000000" w:themeColor="text1"/>
          <w:sz w:val="24"/>
        </w:rPr>
      </w:pPr>
      <w:r>
        <w:rPr>
          <w:rFonts w:hint="eastAsia" w:eastAsia="FangSong_GB2312"/>
          <w:color w:val="000000" w:themeColor="text1"/>
          <w:sz w:val="24"/>
        </w:rPr>
        <w:t>四、本报告采取写实性描述，能用数据定量描述的，不得定性描述．定量数据除总量外，尽可能用师均、生均或比例描述．报告中所描述的内容和数据应确属本学位点，必须真实、准确，有据可查。</w:t>
      </w:r>
    </w:p>
    <w:p w14:paraId="5B813AFD">
      <w:pPr>
        <w:spacing w:line="400" w:lineRule="exact"/>
        <w:ind w:firstLine="480" w:firstLineChars="200"/>
        <w:rPr>
          <w:rFonts w:eastAsia="FangSong_GB2312"/>
          <w:color w:val="000000" w:themeColor="text1"/>
          <w:sz w:val="24"/>
        </w:rPr>
      </w:pPr>
      <w:r>
        <w:rPr>
          <w:rFonts w:hint="eastAsia" w:eastAsia="FangSong_GB2312"/>
          <w:color w:val="000000" w:themeColor="text1"/>
          <w:sz w:val="24"/>
        </w:rPr>
        <w:t>五、本报告的各项内容须是本学位点合格评估自评阶段</w:t>
      </w:r>
      <w:r>
        <w:rPr>
          <w:rFonts w:eastAsia="FangSong_GB2312"/>
          <w:color w:val="000000" w:themeColor="text1"/>
          <w:sz w:val="24"/>
        </w:rPr>
        <w:t>5</w:t>
      </w:r>
      <w:r>
        <w:rPr>
          <w:rFonts w:hint="eastAsia" w:eastAsia="FangSong_GB2312"/>
          <w:color w:val="000000" w:themeColor="text1"/>
          <w:sz w:val="24"/>
        </w:rPr>
        <w:t xml:space="preserve">年内的情况，统计时间以自评阶段第 </w:t>
      </w:r>
      <w:r>
        <w:rPr>
          <w:rFonts w:eastAsia="FangSong_GB2312"/>
          <w:color w:val="000000" w:themeColor="text1"/>
          <w:sz w:val="24"/>
        </w:rPr>
        <w:t>5</w:t>
      </w:r>
      <w:r>
        <w:rPr>
          <w:rFonts w:hint="eastAsia" w:eastAsia="FangSong_GB2312"/>
          <w:color w:val="000000" w:themeColor="text1"/>
          <w:sz w:val="24"/>
        </w:rPr>
        <w:t>年12 月底为截止时间。</w:t>
      </w:r>
    </w:p>
    <w:p w14:paraId="713EB2B3">
      <w:pPr>
        <w:spacing w:line="400" w:lineRule="exact"/>
        <w:ind w:firstLine="480" w:firstLineChars="200"/>
        <w:rPr>
          <w:rFonts w:eastAsia="FangSong_GB2312"/>
          <w:color w:val="000000" w:themeColor="text1"/>
          <w:sz w:val="24"/>
        </w:rPr>
      </w:pPr>
      <w:r>
        <w:rPr>
          <w:rFonts w:hint="eastAsia" w:eastAsia="FangSong_GB2312"/>
          <w:color w:val="000000" w:themeColor="text1"/>
          <w:sz w:val="24"/>
        </w:rPr>
        <w:t>六、本报告所涉及的师资内容应区分目前人事关系隶属本单位的专职人员和兼职导师（同一人员原则上不得在不同学术学位点或不同专业学位点重复统计或填写）。</w:t>
      </w:r>
    </w:p>
    <w:p w14:paraId="2807633C">
      <w:pPr>
        <w:spacing w:line="400" w:lineRule="exact"/>
        <w:ind w:firstLine="480" w:firstLineChars="200"/>
        <w:rPr>
          <w:rFonts w:eastAsia="FangSong_GB2312"/>
          <w:color w:val="000000" w:themeColor="text1"/>
          <w:sz w:val="24"/>
        </w:rPr>
      </w:pPr>
      <w:r>
        <w:rPr>
          <w:rFonts w:hint="eastAsia" w:eastAsia="FangSong_GB2312"/>
          <w:color w:val="000000" w:themeColor="text1"/>
          <w:sz w:val="24"/>
        </w:rPr>
        <w:t>七、本报告中所涉及的成果（论文、专著、专利、科研奖励、教学成果奖励等）应是署名本单位，且同一人员的同一成果不得在不同学术学位点或不同专业学位点重复统计或填写．引进人员在调入本学位点之前署名其他单位所获得的成果不填写、不统计。</w:t>
      </w:r>
    </w:p>
    <w:p w14:paraId="2D5627E6">
      <w:pPr>
        <w:spacing w:line="400" w:lineRule="exact"/>
        <w:ind w:firstLine="480" w:firstLineChars="200"/>
        <w:rPr>
          <w:rFonts w:eastAsia="FangSong_GB2312"/>
          <w:color w:val="000000" w:themeColor="text1"/>
          <w:sz w:val="24"/>
        </w:rPr>
      </w:pPr>
      <w:r>
        <w:rPr>
          <w:rFonts w:hint="eastAsia" w:eastAsia="FangSong_GB2312"/>
          <w:color w:val="000000" w:themeColor="text1"/>
          <w:sz w:val="24"/>
        </w:rPr>
        <w:t>八、涉及国家机密的内容一律按国家有关保密规定进行脱密处理后编写。</w:t>
      </w:r>
    </w:p>
    <w:p w14:paraId="7ED17639">
      <w:pPr>
        <w:pStyle w:val="6"/>
        <w:spacing w:after="0" w:line="500" w:lineRule="exact"/>
        <w:rPr>
          <w:rFonts w:cs="Times New Roman"/>
          <w:color w:val="000000" w:themeColor="text1"/>
          <w:sz w:val="21"/>
          <w:szCs w:val="21"/>
          <w:lang w:val="zh-CN"/>
        </w:rPr>
        <w:sectPr>
          <w:footerReference r:id="rId5" w:type="first"/>
          <w:footerReference r:id="rId4" w:type="default"/>
          <w:pgSz w:w="11906" w:h="16838"/>
          <w:pgMar w:top="1440" w:right="1797" w:bottom="1440" w:left="1797" w:header="851" w:footer="992" w:gutter="0"/>
          <w:pgNumType w:start="1"/>
          <w:cols w:space="425" w:num="1"/>
          <w:docGrid w:type="lines" w:linePitch="312" w:charSpace="0"/>
        </w:sectPr>
      </w:pPr>
      <w:r>
        <w:rPr>
          <w:rFonts w:hint="eastAsia" w:eastAsia="FangSong_GB2312"/>
          <w:color w:val="000000" w:themeColor="text1"/>
          <w:sz w:val="24"/>
        </w:rPr>
        <w:t>九、本报告文字使用四号宋体，字数不超过 8000字，纸张限用A4。</w:t>
      </w:r>
      <w:r>
        <w:rPr>
          <w:rFonts w:eastAsia="FangSong_GB2312"/>
          <w:color w:val="000000" w:themeColor="text1"/>
          <w:spacing w:val="2"/>
          <w:sz w:val="24"/>
        </w:rPr>
        <w:br w:type="page"/>
      </w:r>
    </w:p>
    <w:p w14:paraId="0A0867BC">
      <w:pPr>
        <w:keepNext w:val="0"/>
        <w:keepLines w:val="0"/>
        <w:widowControl/>
        <w:suppressLineNumbers w:val="0"/>
        <w:jc w:val="left"/>
      </w:pPr>
      <w:r>
        <w:rPr>
          <w:rFonts w:ascii="仿宋" w:hAnsi="仿宋" w:eastAsia="仿宋" w:cs="仿宋"/>
          <w:b/>
          <w:bCs/>
          <w:color w:val="000000"/>
          <w:kern w:val="0"/>
          <w:sz w:val="31"/>
          <w:szCs w:val="31"/>
          <w:lang w:val="en-US" w:eastAsia="zh-CN" w:bidi="ar"/>
        </w:rPr>
        <w:t xml:space="preserve">1 建设目标和预期成效完成情况 </w:t>
      </w:r>
    </w:p>
    <w:p w14:paraId="6B18D27C">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工商管理学科2020年的近期建设目标为：坚持和加强党的全面领导，以现有建设成就为出发点，围绕高水平大学建设继续深化改革，以冲击一流学科为建设目标，补短板、强特色,针对性聚焦和培育本学科的发展亮点，使学科特色更加鲜明，形成本学科在全国领先院校的比较优势。 </w:t>
      </w:r>
    </w:p>
    <w:p w14:paraId="78B809E5">
      <w:pPr>
        <w:keepNext w:val="0"/>
        <w:keepLines w:val="0"/>
        <w:widowControl/>
        <w:suppressLineNumbers w:val="0"/>
        <w:jc w:val="left"/>
      </w:pPr>
      <w:r>
        <w:rPr>
          <w:rFonts w:hint="eastAsia" w:ascii="仿宋" w:hAnsi="仿宋" w:eastAsia="仿宋" w:cs="仿宋"/>
          <w:color w:val="000000"/>
          <w:kern w:val="0"/>
          <w:sz w:val="31"/>
          <w:szCs w:val="31"/>
          <w:lang w:val="en-US" w:eastAsia="zh-CN" w:bidi="ar"/>
        </w:rPr>
        <w:t>经过三年建设，学科建设目标总体完成情况良好，达到预期建设成效。在</w:t>
      </w:r>
      <w:r>
        <w:rPr>
          <w:rFonts w:hint="eastAsia" w:ascii="仿宋" w:hAnsi="仿宋" w:eastAsia="仿宋" w:cs="仿宋"/>
          <w:b/>
          <w:bCs/>
          <w:color w:val="000000"/>
          <w:kern w:val="0"/>
          <w:sz w:val="31"/>
          <w:szCs w:val="31"/>
          <w:lang w:val="en-US" w:eastAsia="zh-CN" w:bidi="ar"/>
        </w:rPr>
        <w:t>学科综合实力、科学研究能力、师资队伍建设、人才培养质量、社会服务能力和国际化交流</w:t>
      </w:r>
      <w:r>
        <w:rPr>
          <w:rFonts w:hint="eastAsia" w:ascii="仿宋" w:hAnsi="仿宋" w:eastAsia="仿宋" w:cs="仿宋"/>
          <w:color w:val="000000"/>
          <w:kern w:val="0"/>
          <w:sz w:val="31"/>
          <w:szCs w:val="31"/>
          <w:lang w:val="en-US" w:eastAsia="zh-CN" w:bidi="ar"/>
        </w:rPr>
        <w:t xml:space="preserve">六个方面取得显著成绩。 </w:t>
      </w:r>
    </w:p>
    <w:p w14:paraId="26088EF7">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1.1 学科综合实力稳步提升 </w:t>
      </w:r>
    </w:p>
    <w:p w14:paraId="3235732A">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工商管理学科实力不断增强，继2012年获批广东省攀峰重点学科，2016年教育部第四轮全国学科评估中获评为 B+学科后， </w:t>
      </w:r>
    </w:p>
    <w:p w14:paraId="47A8E679">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2020年在软科中国最好学科排名位列第13位（前5%），持续保持稳步上升势头。经第三方数据评估，经过三年“冲补强”计划建设，较上一轮学科评估时，我校工商管理学科已明显缩小与对标院校湖南大学工商管理学科（上一轮评估为A-学科）的各项差距，在人才培养和科学研究等细分领域的发展指数甚至实现超越，建设成效显著。 </w:t>
      </w:r>
    </w:p>
    <w:p w14:paraId="0E93F0DD">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1.2 科学研究能力持续攀升 </w:t>
      </w:r>
    </w:p>
    <w:p w14:paraId="03D89716">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本学科整合优势研究团队，科学研究成果斐然，影响不断扩大。近三年，本学科成功申报国家级项目47项，科研到账总经费近 3000 万。其中宋献中教授团队 2019 年承担世界银行技 </w:t>
      </w:r>
    </w:p>
    <w:p w14:paraId="336B3C66">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援项目，填补了国内与国际碳交易核算的空白。科研成果发表 </w:t>
      </w:r>
    </w:p>
    <w:p w14:paraId="2CA3F77D">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于 AMJ、JIBS、MSOM、OS、POM、TAR 等 UTD-24 期刊，《管理世界》《经济研究》等中文顶级期刊上，获得了8项省部级人文社科优秀成果奖，2018 年广州区域低碳经济研究基地获评“广州市人文社会科学重点研究基地建设优秀基地”，2019 年暨南大学企业发展研究所通过广东省省级文科平台评估检查获评“优秀”，这些具有代表性的科研平台在服务地方经济和承担广东省经济发展主战场方面做出了诸多贡献。 </w:t>
      </w:r>
    </w:p>
    <w:p w14:paraId="1C22D7CE">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1.3 师资队伍建设成绩斐然 </w:t>
      </w:r>
    </w:p>
    <w:p w14:paraId="6F9D0100">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师资队伍建设以自主涵育为主，对外柔性引进为辅，通过持续加大对中青年科研骨干的支持和投入，着力培养潜力人才，从无到有、逐步建立丰富各项省级人才梯队，进而最终实现国 </w:t>
      </w:r>
    </w:p>
    <w:p w14:paraId="616C7448">
      <w:pPr>
        <w:keepNext w:val="0"/>
        <w:keepLines w:val="0"/>
        <w:widowControl/>
        <w:suppressLineNumbers w:val="0"/>
        <w:jc w:val="left"/>
      </w:pPr>
      <w:r>
        <w:rPr>
          <w:rFonts w:hint="eastAsia" w:ascii="仿宋" w:hAnsi="仿宋" w:eastAsia="仿宋" w:cs="仿宋"/>
          <w:color w:val="000000"/>
          <w:kern w:val="0"/>
          <w:sz w:val="31"/>
          <w:szCs w:val="31"/>
          <w:lang w:val="en-US" w:eastAsia="zh-CN" w:bidi="ar"/>
        </w:rPr>
        <w:t>家级人才“零”的突破。本期建设期间，我院 1 人入选“双万计划”国家级教学名师，1 人入选国家优青，1 人入选国家级人才项目</w:t>
      </w:r>
      <w:bookmarkStart w:id="0" w:name="_GoBack"/>
      <w:bookmarkEnd w:id="0"/>
      <w:r>
        <w:rPr>
          <w:rFonts w:hint="eastAsia" w:ascii="仿宋" w:hAnsi="仿宋" w:eastAsia="仿宋" w:cs="仿宋"/>
          <w:color w:val="000000"/>
          <w:kern w:val="0"/>
          <w:sz w:val="31"/>
          <w:szCs w:val="31"/>
          <w:lang w:val="en-US" w:eastAsia="zh-CN" w:bidi="ar"/>
        </w:rPr>
        <w:t xml:space="preserve">，1人入选珠江学者特聘教授，2 人入选珠江学者讲座教授，师资力量日渐雄厚。 </w:t>
      </w:r>
    </w:p>
    <w:p w14:paraId="4434FDC9">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此外，我院师资队伍还包括“千百十”人才工程国家级培养对象 1 人，“千百十”人才工程省级培养对象 2 人，全国会计 </w:t>
      </w:r>
    </w:p>
    <w:p w14:paraId="701E2BF5">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名家 2 人，全国会计领军人才培养工作特殊支持计划 1 人，财政部“国际化高端会计人才”1 人，广东省优秀教师 2 人 ，暨南“双百英才”杰出人才、暨南杰青第一层次、暨南杰青第二层次培养对象有 16 人。我院自主培养教育部“黄大年式”教学团队 1 个。 </w:t>
      </w:r>
    </w:p>
    <w:p w14:paraId="1FF48308">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1.4 人才培养质量不断提高 </w:t>
      </w:r>
    </w:p>
    <w:p w14:paraId="10987BD5">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学院紧紧围绕侨校工作实际，积极配合学校构建“大统战” 工作格局，坚持党委统一领导，将统战意识和中华优秀文化传播意识有机融入日常教学和学生培养的各个方面，以培育中华文化认同感为核心、切实提高学生综合素质为抓手，针对性地开展实施各项活动。经过三年建设，工商管理学科人才培养规模稳步扩大，人才培养质量不断提高，教学成果显著。本学科过去一年培养了专业硕士研究生 218 名，其中不乏来自港澳台 </w:t>
      </w:r>
    </w:p>
    <w:p w14:paraId="48364AA7">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侨及外国留学生，并成为了服务粤港澳大湾区建设及搭建中外 </w:t>
      </w:r>
    </w:p>
    <w:p w14:paraId="6E930058">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友谊桥梁的杰出校友。与此同时，本学科获得 1 项省级教学成果特等奖，2 项省级教学成果一等奖；张耀辉教授入选“双万计划”国家级教学名师并获得省级优秀教学团队称号，黎文靖教授获第四届全国高校青年教师教学竞赛（文科组）二等奖； </w:t>
      </w:r>
    </w:p>
    <w:p w14:paraId="52990FEA">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获批国家级精品在线开放课程 1 门，广东省精品在线开放课程4门。 </w:t>
      </w:r>
    </w:p>
    <w:p w14:paraId="09EF31A5">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1.5 社会服务能力不断增强 </w:t>
      </w:r>
    </w:p>
    <w:p w14:paraId="4FB9D92D">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积极融入大统战工作，培育世界华商领袖。本学科创建的港澳台侨商科学子能力提升计划从理想信念教育等五大模块对学生进行全方位培养，特别重视对港澳台侨学子的理想信念培 </w:t>
      </w:r>
    </w:p>
    <w:p w14:paraId="391BC5DE">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养，为项目成员提供现场教学、体验教学、情景教学等丰富多 </w:t>
      </w:r>
    </w:p>
    <w:p w14:paraId="4BB1A0E4">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样的教学形式，强化学习效果，共同维护“一国两制”和港澳 </w:t>
      </w:r>
    </w:p>
    <w:p w14:paraId="1CE0B500">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的繁荣稳定。 </w:t>
      </w:r>
    </w:p>
    <w:p w14:paraId="0C13BE68">
      <w:pPr>
        <w:keepNext w:val="0"/>
        <w:keepLines w:val="0"/>
        <w:widowControl/>
        <w:suppressLineNumbers w:val="0"/>
        <w:jc w:val="left"/>
      </w:pPr>
      <w:r>
        <w:rPr>
          <w:rFonts w:hint="eastAsia" w:ascii="仿宋" w:hAnsi="仿宋" w:eastAsia="仿宋" w:cs="仿宋"/>
          <w:color w:val="000000"/>
          <w:kern w:val="0"/>
          <w:sz w:val="31"/>
          <w:szCs w:val="31"/>
          <w:lang w:val="en-US" w:eastAsia="zh-CN" w:bidi="ar"/>
        </w:rPr>
        <w:t>开展多层次培训项目，为创新驱动提供智力支持，服务国家与区域经济转型升级。近来，本学科承办了国家统战部、文化和旅游部、广东省工信厅、安徽省经信厅、江苏省侨联等多个专题、多个层次的培训项目，培训人数近 10000 人，培训范围涵盖广州、深圳、东莞、珠海、合肥等 37 个城市。与此同时，学科依托学院党组，积极响应精准扶贫精准脱贫基本方略，开展多层次扶贫工作，成效显著。依托旅游管理专业教师，通过旅游规划、特色小镇规划等专业帮扶</w:t>
      </w:r>
      <w:r>
        <w:rPr>
          <w:rFonts w:ascii="微软雅黑" w:hAnsi="微软雅黑" w:eastAsia="微软雅黑" w:cs="微软雅黑"/>
          <w:color w:val="000000"/>
          <w:kern w:val="0"/>
          <w:sz w:val="31"/>
          <w:szCs w:val="31"/>
          <w:lang w:val="en-US" w:eastAsia="zh-CN" w:bidi="ar"/>
        </w:rPr>
        <w:t>篛</w:t>
      </w:r>
      <w:r>
        <w:rPr>
          <w:rFonts w:hint="eastAsia" w:ascii="仿宋" w:hAnsi="仿宋" w:eastAsia="仿宋" w:cs="仿宋"/>
          <w:color w:val="000000"/>
          <w:kern w:val="0"/>
          <w:sz w:val="31"/>
          <w:szCs w:val="31"/>
          <w:lang w:val="en-US" w:eastAsia="zh-CN" w:bidi="ar"/>
        </w:rPr>
        <w:t xml:space="preserve">过村、水口镇等脱贫；设立“月行一善”紧急救助专项基金，组织力量一对一帮扶四川、清远、梅州、连州等多所小学；开展乡村教师培训项目，2019年对来自贵州赫章县、晴隆县和甘肃积石山县等共 100 名乡村中小学教师开展培训。 </w:t>
      </w:r>
    </w:p>
    <w:p w14:paraId="47FA55D7">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1.6 国际化交流成果突出 </w:t>
      </w:r>
    </w:p>
    <w:p w14:paraId="4B3130CF">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本学科积极搭建国际交流平台，全方位的支撑科学研究、人才培养与社会服务。加大力度选拔优秀的年轻教师、博士后、研究生到海外进行短期学术交流、参加国际会议，鼓励科研人员以团队为单位积极举办小型工作坊；加强国际交流，学生多次在国际重要学术会议上做主旨报告。与此同时，践行国家“一带一路”倡议，传播华商管理文化。稳步发展“华商MBA”“海外华裔新生代企业家培训班”“2019 中国-太平洋岛国旅游人力资源培训”项目等特色鲜明教育项目，致力于培养海外华人和对华友好的非华裔管理精英。 </w:t>
      </w:r>
    </w:p>
    <w:p w14:paraId="2B7547BB">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2 工商管理学科建设举措 </w:t>
      </w:r>
    </w:p>
    <w:p w14:paraId="2D5C3473">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2.1 党政齐抓共管，以制度建设为核心形成干事创业的良好环境 </w:t>
      </w:r>
    </w:p>
    <w:p w14:paraId="59FEF24A">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进一步确立党委在学科建设工作中的领导核心作用，推动重大部署的科学决策、民主决策和依法决策。充分发挥学院党政联席会议的决策作用，完善领导班子集体责任制。与此同时，改革学院行政管理体制、人事管理制度、财务管理制度，集中资源，优化配置，选优扶优，推进重点研究团队建设；创新绩效考核机制，推进团队考核机制、完善人才引进培养制度、学术研究激励机制、教学发展与培养管理机制、行政组织协调机制，为本学科大发展提供制度和机制保障。 </w:t>
      </w:r>
    </w:p>
    <w:p w14:paraId="4FB50480">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2.2 凝练学科方向，形成独具暨南华商研究特色的学科群 </w:t>
      </w:r>
    </w:p>
    <w:p w14:paraId="19C8A8BA">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工商管理学科与管理科学与工程两个一级博士学科和一级硕士学科心理学交叉融合。从“宏观制度环境—企业层面特征—微观个体行为”的综合视角，系统研究财务会计、组织行为、运营管理、品牌营销、旅游规划等工商管理重要主题，并构建 </w:t>
      </w:r>
    </w:p>
    <w:p w14:paraId="647A242E">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开放式高层次创新平台，服务国家“一带一路”倡议和大湾区 </w:t>
      </w:r>
    </w:p>
    <w:p w14:paraId="7274FA93">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建设需要，服务各类型企业转型升级的需要。 </w:t>
      </w:r>
    </w:p>
    <w:p w14:paraId="1BC3C950">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2.3 引培结合， “老-中-青”学者传承创新，建设一流 </w:t>
      </w:r>
    </w:p>
    <w:p w14:paraId="4079D5B3">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的师资队伍 </w:t>
      </w:r>
    </w:p>
    <w:p w14:paraId="74547E45">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坚持“人才强校”的发展战略，以“科学、规范、多元、激励”为指导思想，按照“内涵发展、激发活力、提升效益、扎实推进”的工作思路，推进老-中-青学术传承创新，全力打造一支符合高水平大学建设需要的师资队伍。本学科外引内培并举，建设高水平师资队伍。结合国家各类人才培养计划和“暨南千人引智计划”，建立领军人才、杰出人才、青年拔尖人才、博士后、专职科研人员等分层次、多元化的师资队伍。实施“暨南精英师资计划”，制定和完善“暨南优秀青年教师支持计划”“暨南杰出青年学者支持计划”与“暨南卓越学者支持计划”，构建分阶段、全覆盖的师资培养体系。 </w:t>
      </w:r>
    </w:p>
    <w:p w14:paraId="1A97FE55">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2.4 以学科为平台，建立一批服务粤港澳大湾区发展的智库平台 </w:t>
      </w:r>
    </w:p>
    <w:p w14:paraId="7A167E2D">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依托工商管理的学科平台，建设双轮驱动的企业转型发展智库，积极服务粤港澳大湾区国际科技创新中心的建设工作，为大湾区经济发展和产业结构优化升级、建设现代产业体系和创新型广东等战略提供智力保障，包括管理学院家族传承研究院、管理学院品牌研究院、暨南大学发展研究所、暨南大学广州低碳研究中心等。 </w:t>
      </w:r>
    </w:p>
    <w:p w14:paraId="47283CE6">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2.5 赋能挖潜，从全人的角度推动人才培养 </w:t>
      </w:r>
    </w:p>
    <w:p w14:paraId="6FB3B2C4">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本学科以工商管理教育为着力点，首次提出“商科教育生态圈”教育理念。该教育理念的商科生态圈以培养既能够深刻理解中华文化，又可以充分驾驭全球化经济竞争的高素质管理人才为目标，围绕培养学生前沿管理理论知识、创新实践能力、综合管理素质“三大培养要素”，通过“四大培养平台”“两大 </w:t>
      </w:r>
    </w:p>
    <w:p w14:paraId="0CC86C58">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保障机制”，形成“三大人才培育成果”，进而反哺人才培养，从而搭建了独特的商科教育生态圈系统。 </w:t>
      </w:r>
    </w:p>
    <w:p w14:paraId="51276FDE">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3 当前学科发展面临的瓶颈和问题 </w:t>
      </w:r>
    </w:p>
    <w:p w14:paraId="38934609">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3.1 学科发展特色有待进一步凝练 </w:t>
      </w:r>
    </w:p>
    <w:p w14:paraId="194412D0">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立足传承中华管理智慧，培养国际化管理精英的使命，在提升整体综合实力、巩固优势方向的基础上，仍须进一步凝练突显学科发展特色，着力将“补短板”措施与“强特色”目标有机结合，切实贴合服务粤港澳大湾区经济社会发展和产业转型升级的迫切需求，逐步扩大学院和学科的国际影响力。 </w:t>
      </w:r>
    </w:p>
    <w:p w14:paraId="2360F2C0">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3.2 学科建设水平有待进一步发展 </w:t>
      </w:r>
    </w:p>
    <w:p w14:paraId="40891508">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学科建设任重道远，未进入ESI世界排名前 1%。科研创新能力持续提升，然而具有重大影响力的成果依然缺乏，学科顶尖论文数量仍有较大增长空间，标志性的高层领军人才缺乏，具有承接国家重大战略科研需求能力的顶尖团队有待进一步成 型。 </w:t>
      </w:r>
    </w:p>
    <w:p w14:paraId="00EAE8E2">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3.3 师资队伍建设有待进一步优化 </w:t>
      </w:r>
    </w:p>
    <w:p w14:paraId="3DCBF419">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学科师资存在一定的衔接断层情况，如科研与教学互动不足，本硕博教学资源打通度不足，高水平、跨学科的团队组建仍需加强，人才机制体制改革需进一步推进，教师自身发展的内在动力还有待进一步提高。 </w:t>
      </w:r>
    </w:p>
    <w:p w14:paraId="7449596C">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3.4 人才培养体系有待进一步完善 </w:t>
      </w:r>
    </w:p>
    <w:p w14:paraId="0683AB6D">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坚持贯彻党的教育方针，运用习近平新时代中国特色社会主义思想铸魂育人，要进一步加强德育教化，引导培养学生增强中国特色社会主义的道路自信、理论自信、制度自信、文化自信。在数据化的社会大趋势下，还未能完全结合时代的发展和企业人才的需求，开设的课程实践性有待提高，教学模式的数字化有待提高，教学资源的投入有待加强，国家级金课不多等短板。 </w:t>
      </w:r>
    </w:p>
    <w:p w14:paraId="49B9CF0C">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3.5 资源投入有待进一步提高 </w:t>
      </w:r>
    </w:p>
    <w:p w14:paraId="75E00628">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本学科与世界一流商学院相比，在教学设置、科研激励、人才引进、产研融合等方面仍具有较大的提升空间，特别是对于推动学科优势方向跨越式发展、冲击重大重点科研成果，以及学科重要支撑平台建设上，都存在较大资金缺口，资源投入亟待提高。 </w:t>
      </w:r>
    </w:p>
    <w:p w14:paraId="6ADF7471">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4 下一步建设思路和工作措施 </w:t>
      </w:r>
    </w:p>
    <w:p w14:paraId="033E77D5">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4.1 进一步提高学科建设水平 </w:t>
      </w:r>
    </w:p>
    <w:p w14:paraId="0A232756">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以国家“双一流”大学建设和广东省高水平大学建设为依托，以工商管理学科为平台，加强与管理科学与工程、心理学两个一级学科加强交叉融合，进一步凝练学科特色和加强重点科研团队的建设，包括公司财务与环境会计、管理会计、组织行为与人力资源管理、供应链与运营管理、品牌营销与旅游规划。与此同时，以科研国际合作为新的切入点，从而进一步打造国际化的高水平的科研团队，以及提升本学科的国际影响力。 </w:t>
      </w:r>
    </w:p>
    <w:p w14:paraId="4F885F35">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4.2 进一步推动管理体制改革 </w:t>
      </w:r>
    </w:p>
    <w:p w14:paraId="3CF8271D">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不断完善顶层制度体系，以体制机制改革推动学科内涵式发展。通过落实责任主体，不断推进学科建设规范有序运转；建立教学质量监控常态化，不断完善各类考核指标体系，提高科学研究和人才培养的科学性；围绕教学科研核心制定相应文件，加速科技成果转化，增强服务粤港澳大湾区发展的能力。与此同时，以国家“双一流”和广东省“冲补强”计划建设为依托，探索建立一流学科发展新体系。不断加大高层次人才引进和培养力度，激发教学和科研人员教书育人、干事创业的积极性和主动性。创新科研团队管理模式，探索打造高水平科研团队。 </w:t>
      </w:r>
    </w:p>
    <w:p w14:paraId="0805EAF1">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4.3 进一步完善师资队伍建设 </w:t>
      </w:r>
    </w:p>
    <w:p w14:paraId="059B9AD9">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进一步完善科研与教学激励体系、职称评审规则、师资培训等机制，大力推动教师加大科学研究的投入力度，搭建跨学科、跨领域的科研团队，积极承担国家重点重大科研项目，形成“既有高原，又有高峰”的学科平台。以“国家级教学成果奖”为目标，对具备冲击能力的教学团队进行重点资助建设，推动重点教学团队梯次冲击省部级和国家级教学奖，让教师科学研究成果更好的融入人才培养的各个环节，从而形成一批高水平的教学团队。 </w:t>
      </w:r>
    </w:p>
    <w:p w14:paraId="48F8F3D9">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4.4 进一步深化人才培养机制改革 </w:t>
      </w:r>
    </w:p>
    <w:p w14:paraId="571C9DE3">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进一步完善人才培养管理制度，推进以学位点自治为核心的培养管理体系建设，将立德树人贯穿到人才培养各环节。包括进一步优化课程培养方案，加强培养学生对管理理论、社会责任、国际视野方面的能力，进一步凝练出人才培养的特色。 </w:t>
      </w:r>
    </w:p>
    <w:p w14:paraId="1B29CCF6">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4.5 进一步优化管理服务质量 </w:t>
      </w:r>
    </w:p>
    <w:p w14:paraId="58B6D535">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以创新管理模式为切入点，优化内部管理模式，从而更好的服务科学研究、人才培养和社会服务等工作，包括创建“高层次人才引进绿色通道”以提高人才引进效率，提升高层次人才“一站式”服务能力，建设高水平人才培养制度，创造良好的人才成长环境等。 </w:t>
      </w:r>
    </w:p>
    <w:p w14:paraId="75DEE059">
      <w:pPr>
        <w:keepNext w:val="0"/>
        <w:keepLines w:val="0"/>
        <w:widowControl/>
        <w:suppressLineNumbers w:val="0"/>
        <w:jc w:val="left"/>
      </w:pPr>
      <w:r>
        <w:rPr>
          <w:rFonts w:hint="eastAsia" w:ascii="仿宋" w:hAnsi="仿宋" w:eastAsia="仿宋" w:cs="仿宋"/>
          <w:b/>
          <w:bCs/>
          <w:color w:val="000000"/>
          <w:kern w:val="0"/>
          <w:sz w:val="31"/>
          <w:szCs w:val="31"/>
          <w:lang w:val="en-US" w:eastAsia="zh-CN" w:bidi="ar"/>
        </w:rPr>
        <w:t xml:space="preserve">4.6 进一步推进国际认证步伐 </w:t>
      </w:r>
    </w:p>
    <w:p w14:paraId="5B14C21A">
      <w:pPr>
        <w:keepNext w:val="0"/>
        <w:keepLines w:val="0"/>
        <w:widowControl/>
        <w:suppressLineNumbers w:val="0"/>
        <w:jc w:val="left"/>
        <w:rPr>
          <w:rFonts w:cs="宋体" w:asciiTheme="minorEastAsia" w:hAnsiTheme="minorEastAsia" w:eastAsiaTheme="minorEastAsia"/>
          <w:color w:val="000000" w:themeColor="text1"/>
          <w:kern w:val="0"/>
          <w:sz w:val="28"/>
          <w:szCs w:val="28"/>
          <w:lang w:val="zh-CN"/>
        </w:rPr>
      </w:pPr>
      <w:r>
        <w:rPr>
          <w:rFonts w:hint="eastAsia" w:ascii="仿宋" w:hAnsi="仿宋" w:eastAsia="仿宋" w:cs="仿宋"/>
          <w:color w:val="000000"/>
          <w:kern w:val="0"/>
          <w:sz w:val="31"/>
          <w:szCs w:val="31"/>
          <w:lang w:val="en-US" w:eastAsia="zh-CN" w:bidi="ar"/>
        </w:rPr>
        <w:t xml:space="preserve">集中资源全力推进国际认证工作，包括 AMBA 再认证、AMBA&amp;BGA 联合认证、AACSB 认证、EQUIS 认证等正按照时间节 点有序、稳步进行，从而提升本学科在世界范围内的品牌知名度。 </w:t>
      </w:r>
    </w:p>
    <w:sectPr>
      <w:footerReference r:id="rId6" w:type="default"/>
      <w:footnotePr>
        <w:numFmt w:val="decimalEnclosedCircleChinese"/>
      </w:footnotePr>
      <w:pgSz w:w="11906" w:h="16838"/>
      <w:pgMar w:top="1440" w:right="1797" w:bottom="1440" w:left="1797"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KaiTi_GB2312">
    <w:altName w:val="楷体"/>
    <w:panose1 w:val="02010609060101010101"/>
    <w:charset w:val="86"/>
    <w:family w:val="modern"/>
    <w:pitch w:val="default"/>
    <w:sig w:usb0="00000000" w:usb1="00000000"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FangSong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C73CDD">
    <w:pPr>
      <w:pStyle w:val="4"/>
      <w:rPr>
        <w:rFonts w:cs="Times New Roman"/>
      </w:rPr>
    </w:pPr>
    <w:r>
      <w:pict>
        <v:shape id="文本框 1" o:spid="_x0000_s3075"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zSVju0AAAAAUBAAAPAAAAAAAAAAEAIAAAACIA&#10;AABkcnMvZG93bnJldi54bWxQSwECFAAUAAAACACHTuJAE1rs/tgBAACxAwAADgAAAAAAAAABACAA&#10;AAAfAQAAZHJzL2Uyb0RvYy54bWxQSwUGAAAAAAYABgBZAQAAaQUAAAAA&#10;">
          <v:path/>
          <v:fill on="f" focussize="0,0"/>
          <v:stroke on="f" weight="0.5pt" joinstyle="miter"/>
          <v:imagedata o:title=""/>
          <o:lock v:ext="edit"/>
          <v:textbox inset="0mm,0mm,0mm,0mm" style="mso-fit-shape-to-text:t;">
            <w:txbxContent>
              <w:p w14:paraId="748937EA">
                <w:pPr>
                  <w:pStyle w:val="4"/>
                  <w:rPr>
                    <w:rFonts w:cs="Times New Roman"/>
                  </w:rPr>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90DA1">
    <w:pPr>
      <w:pStyle w:val="4"/>
      <w:rPr>
        <w:rFonts w:cs="Times New Roman"/>
      </w:rPr>
    </w:pPr>
    <w:r>
      <w:pict>
        <v:shape id="_x0000_s3076" o:spid="_x0000_s307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zSVju0AAAAAUBAAAPAAAAAAAAAAEAIAAAACIA&#10;AABkcnMvZG93bnJldi54bWxQSwECFAAUAAAACACHTuJAxBGsx9gBAACxAwAADgAAAAAAAAABACAA&#10;AAAfAQAAZHJzL2Uyb0RvYy54bWxQSwUGAAAAAAYABgBZAQAAaQUAAAAA&#10;">
          <v:path/>
          <v:fill on="f" focussize="0,0"/>
          <v:stroke on="f" weight="0.5pt" joinstyle="miter"/>
          <v:imagedata o:title=""/>
          <o:lock v:ext="edit"/>
          <v:textbox inset="0mm,0mm,0mm,0mm" style="mso-fit-shape-to-text:t;">
            <w:txbxContent>
              <w:p w14:paraId="7A35EEA0">
                <w:pPr>
                  <w:pStyle w:val="4"/>
                  <w:rPr>
                    <w:rFonts w:cs="Times New Roman"/>
                  </w:rPr>
                </w:pPr>
                <w:r>
                  <w:fldChar w:fldCharType="begin"/>
                </w:r>
                <w:r>
                  <w:instrText xml:space="preserve"> PAGE  \* MERGEFORMAT </w:instrText>
                </w:r>
                <w:r>
                  <w:fldChar w:fldCharType="separate"/>
                </w:r>
                <w:r>
                  <w:t>0</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CC69F">
    <w:pPr>
      <w:pStyle w:val="4"/>
      <w:rPr>
        <w:rFonts w:cs="Times New Roman"/>
      </w:rPr>
    </w:pPr>
    <w:r>
      <w:pict>
        <v:shape id="文本框 3" o:spid="_x0000_s307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s0lY7tAAAAAFAQAADwAAAAAAAAABACAAAAAi&#10;AAAAZHJzL2Rvd25yZXYueG1sUEsBAhQAFAAAAAgAh07iQLYqQ2bZAQAAsQMAAA4AAAAAAAAAAQAg&#10;AAAAHwEAAGRycy9lMm9Eb2MueG1sUEsFBgAAAAAGAAYAWQEAAGoFAAAAAA==&#10;">
          <v:path/>
          <v:fill on="f" focussize="0,0"/>
          <v:stroke on="f" weight="0.5pt" joinstyle="miter"/>
          <v:imagedata o:title=""/>
          <o:lock v:ext="edit"/>
          <v:textbox inset="0mm,0mm,0mm,0mm" style="mso-fit-shape-to-text:t;">
            <w:txbxContent>
              <w:p w14:paraId="4D0B2B40">
                <w:pPr>
                  <w:pStyle w:val="4"/>
                  <w:rPr>
                    <w:rFonts w:cs="Times New Roman"/>
                  </w:rPr>
                </w:pPr>
                <w:r>
                  <w:fldChar w:fldCharType="begin"/>
                </w:r>
                <w:r>
                  <w:instrText xml:space="preserve"> PAGE  \* MERGEFORMAT </w:instrText>
                </w:r>
                <w:r>
                  <w:fldChar w:fldCharType="separate"/>
                </w:r>
                <w:r>
                  <w:t>32</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0871BD">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6C827771"/>
    <w:rsid w:val="00030FD6"/>
    <w:rsid w:val="00040EDA"/>
    <w:rsid w:val="000543B9"/>
    <w:rsid w:val="0006509E"/>
    <w:rsid w:val="00082D46"/>
    <w:rsid w:val="00095CB1"/>
    <w:rsid w:val="001000CB"/>
    <w:rsid w:val="00111A87"/>
    <w:rsid w:val="0012034B"/>
    <w:rsid w:val="001841C3"/>
    <w:rsid w:val="00185CCF"/>
    <w:rsid w:val="001A1FF2"/>
    <w:rsid w:val="001B41CF"/>
    <w:rsid w:val="001C2212"/>
    <w:rsid w:val="001D7C97"/>
    <w:rsid w:val="001E7B84"/>
    <w:rsid w:val="00204BBB"/>
    <w:rsid w:val="002236CC"/>
    <w:rsid w:val="00237C50"/>
    <w:rsid w:val="00250F67"/>
    <w:rsid w:val="002642E9"/>
    <w:rsid w:val="00265B9F"/>
    <w:rsid w:val="00265C39"/>
    <w:rsid w:val="002773D1"/>
    <w:rsid w:val="002B4C48"/>
    <w:rsid w:val="002E0BE7"/>
    <w:rsid w:val="002E223D"/>
    <w:rsid w:val="002E4F05"/>
    <w:rsid w:val="002F0F90"/>
    <w:rsid w:val="00301A9B"/>
    <w:rsid w:val="00346DC8"/>
    <w:rsid w:val="00355D1E"/>
    <w:rsid w:val="00367450"/>
    <w:rsid w:val="00394FC3"/>
    <w:rsid w:val="003A3C5D"/>
    <w:rsid w:val="003A7626"/>
    <w:rsid w:val="003B3F96"/>
    <w:rsid w:val="003F4E11"/>
    <w:rsid w:val="0041671B"/>
    <w:rsid w:val="00425DC7"/>
    <w:rsid w:val="004301E0"/>
    <w:rsid w:val="00440A56"/>
    <w:rsid w:val="00482207"/>
    <w:rsid w:val="00483CB9"/>
    <w:rsid w:val="004941EC"/>
    <w:rsid w:val="004A1A42"/>
    <w:rsid w:val="004C5613"/>
    <w:rsid w:val="004C7D46"/>
    <w:rsid w:val="004D5738"/>
    <w:rsid w:val="00520792"/>
    <w:rsid w:val="00521483"/>
    <w:rsid w:val="00542BC9"/>
    <w:rsid w:val="005447D1"/>
    <w:rsid w:val="005546BF"/>
    <w:rsid w:val="00564985"/>
    <w:rsid w:val="00567FC9"/>
    <w:rsid w:val="0057255E"/>
    <w:rsid w:val="005748C9"/>
    <w:rsid w:val="00584BE0"/>
    <w:rsid w:val="005974E1"/>
    <w:rsid w:val="005C6EC3"/>
    <w:rsid w:val="005E445A"/>
    <w:rsid w:val="005F2FCB"/>
    <w:rsid w:val="005F7866"/>
    <w:rsid w:val="006000B3"/>
    <w:rsid w:val="00600554"/>
    <w:rsid w:val="006008C9"/>
    <w:rsid w:val="00612FC5"/>
    <w:rsid w:val="006155FD"/>
    <w:rsid w:val="00617E92"/>
    <w:rsid w:val="00620392"/>
    <w:rsid w:val="00651C1B"/>
    <w:rsid w:val="006530B9"/>
    <w:rsid w:val="006A07DE"/>
    <w:rsid w:val="006C3E57"/>
    <w:rsid w:val="006D75CD"/>
    <w:rsid w:val="00703FDC"/>
    <w:rsid w:val="00704AD0"/>
    <w:rsid w:val="00705A39"/>
    <w:rsid w:val="00712E02"/>
    <w:rsid w:val="00717B6A"/>
    <w:rsid w:val="00727770"/>
    <w:rsid w:val="00736F45"/>
    <w:rsid w:val="00751064"/>
    <w:rsid w:val="00797FD1"/>
    <w:rsid w:val="007D0954"/>
    <w:rsid w:val="007F376F"/>
    <w:rsid w:val="007F6FFC"/>
    <w:rsid w:val="00811576"/>
    <w:rsid w:val="00813782"/>
    <w:rsid w:val="008218BD"/>
    <w:rsid w:val="00862B01"/>
    <w:rsid w:val="00877274"/>
    <w:rsid w:val="008801DF"/>
    <w:rsid w:val="00882DBE"/>
    <w:rsid w:val="00884B4E"/>
    <w:rsid w:val="008946F9"/>
    <w:rsid w:val="008A121A"/>
    <w:rsid w:val="008A153A"/>
    <w:rsid w:val="008B49E7"/>
    <w:rsid w:val="008B7514"/>
    <w:rsid w:val="008C5419"/>
    <w:rsid w:val="008E1B5C"/>
    <w:rsid w:val="008E6B87"/>
    <w:rsid w:val="008F5E7E"/>
    <w:rsid w:val="00906386"/>
    <w:rsid w:val="00907AF8"/>
    <w:rsid w:val="00911173"/>
    <w:rsid w:val="00954D93"/>
    <w:rsid w:val="00955066"/>
    <w:rsid w:val="009639E3"/>
    <w:rsid w:val="00973DEF"/>
    <w:rsid w:val="00974DB2"/>
    <w:rsid w:val="00983DCD"/>
    <w:rsid w:val="009A55ED"/>
    <w:rsid w:val="009B449E"/>
    <w:rsid w:val="009D7DC4"/>
    <w:rsid w:val="009F4F86"/>
    <w:rsid w:val="00A1308B"/>
    <w:rsid w:val="00A154A0"/>
    <w:rsid w:val="00A43767"/>
    <w:rsid w:val="00A44835"/>
    <w:rsid w:val="00A55F7B"/>
    <w:rsid w:val="00A6061B"/>
    <w:rsid w:val="00A61391"/>
    <w:rsid w:val="00A70762"/>
    <w:rsid w:val="00A907AD"/>
    <w:rsid w:val="00AD347E"/>
    <w:rsid w:val="00AE0A6D"/>
    <w:rsid w:val="00AE1332"/>
    <w:rsid w:val="00B00B71"/>
    <w:rsid w:val="00B021C9"/>
    <w:rsid w:val="00B02EDA"/>
    <w:rsid w:val="00B05013"/>
    <w:rsid w:val="00B26F1F"/>
    <w:rsid w:val="00B43431"/>
    <w:rsid w:val="00B471FF"/>
    <w:rsid w:val="00B5102A"/>
    <w:rsid w:val="00BA5A84"/>
    <w:rsid w:val="00BB44A7"/>
    <w:rsid w:val="00BE530B"/>
    <w:rsid w:val="00BF55C7"/>
    <w:rsid w:val="00C17B9D"/>
    <w:rsid w:val="00C20205"/>
    <w:rsid w:val="00C54D53"/>
    <w:rsid w:val="00C61594"/>
    <w:rsid w:val="00C676DD"/>
    <w:rsid w:val="00C712A9"/>
    <w:rsid w:val="00C71AD7"/>
    <w:rsid w:val="00C74866"/>
    <w:rsid w:val="00C80A92"/>
    <w:rsid w:val="00C81989"/>
    <w:rsid w:val="00CA493C"/>
    <w:rsid w:val="00CB0C88"/>
    <w:rsid w:val="00CB1D46"/>
    <w:rsid w:val="00CC5F7D"/>
    <w:rsid w:val="00D003C5"/>
    <w:rsid w:val="00D34E8F"/>
    <w:rsid w:val="00D57FB6"/>
    <w:rsid w:val="00D647F1"/>
    <w:rsid w:val="00D77B12"/>
    <w:rsid w:val="00D95876"/>
    <w:rsid w:val="00D970C9"/>
    <w:rsid w:val="00DA1BA3"/>
    <w:rsid w:val="00DE4D42"/>
    <w:rsid w:val="00E11A5F"/>
    <w:rsid w:val="00E44379"/>
    <w:rsid w:val="00E70F65"/>
    <w:rsid w:val="00E82BB2"/>
    <w:rsid w:val="00E8692E"/>
    <w:rsid w:val="00EB0EB3"/>
    <w:rsid w:val="00EB3ECB"/>
    <w:rsid w:val="00EB6D88"/>
    <w:rsid w:val="00EC728A"/>
    <w:rsid w:val="00ED48EE"/>
    <w:rsid w:val="00F33640"/>
    <w:rsid w:val="00F42A35"/>
    <w:rsid w:val="00F76E44"/>
    <w:rsid w:val="00F80310"/>
    <w:rsid w:val="00FB2E46"/>
    <w:rsid w:val="00FC4C9E"/>
    <w:rsid w:val="00FD03E2"/>
    <w:rsid w:val="00FD33A8"/>
    <w:rsid w:val="00FE00AE"/>
    <w:rsid w:val="00FE224F"/>
    <w:rsid w:val="04937B59"/>
    <w:rsid w:val="049B3B79"/>
    <w:rsid w:val="085A5BE9"/>
    <w:rsid w:val="0A264765"/>
    <w:rsid w:val="0B5E2753"/>
    <w:rsid w:val="0F650F00"/>
    <w:rsid w:val="10BE5DCF"/>
    <w:rsid w:val="11812F1A"/>
    <w:rsid w:val="12C34482"/>
    <w:rsid w:val="14881D09"/>
    <w:rsid w:val="189E3DB3"/>
    <w:rsid w:val="1E485261"/>
    <w:rsid w:val="1E6C31DE"/>
    <w:rsid w:val="1EC97C3F"/>
    <w:rsid w:val="21526B99"/>
    <w:rsid w:val="24C13ECB"/>
    <w:rsid w:val="24D6564D"/>
    <w:rsid w:val="28D152AB"/>
    <w:rsid w:val="29D67FBE"/>
    <w:rsid w:val="2A4474EE"/>
    <w:rsid w:val="2BA26703"/>
    <w:rsid w:val="2D867358"/>
    <w:rsid w:val="2E664020"/>
    <w:rsid w:val="33217357"/>
    <w:rsid w:val="33E20EF6"/>
    <w:rsid w:val="382D2928"/>
    <w:rsid w:val="396722B8"/>
    <w:rsid w:val="3B2B0A9C"/>
    <w:rsid w:val="3CE93009"/>
    <w:rsid w:val="3D6F0BA3"/>
    <w:rsid w:val="3FA80945"/>
    <w:rsid w:val="3FA86C68"/>
    <w:rsid w:val="41866449"/>
    <w:rsid w:val="41CA1048"/>
    <w:rsid w:val="42A64D9C"/>
    <w:rsid w:val="46A3553D"/>
    <w:rsid w:val="48CF3F57"/>
    <w:rsid w:val="4A656027"/>
    <w:rsid w:val="4A694EDB"/>
    <w:rsid w:val="4C392D7D"/>
    <w:rsid w:val="4CE607B4"/>
    <w:rsid w:val="4EA605D1"/>
    <w:rsid w:val="51CF2FC5"/>
    <w:rsid w:val="56A43DD4"/>
    <w:rsid w:val="57F06639"/>
    <w:rsid w:val="5F1103DB"/>
    <w:rsid w:val="632C7251"/>
    <w:rsid w:val="636E36D6"/>
    <w:rsid w:val="63A54A0A"/>
    <w:rsid w:val="68BE74A8"/>
    <w:rsid w:val="69FA290E"/>
    <w:rsid w:val="6B425ABF"/>
    <w:rsid w:val="6BD62AB7"/>
    <w:rsid w:val="6C827771"/>
    <w:rsid w:val="765D6C4F"/>
    <w:rsid w:val="774576C0"/>
    <w:rsid w:val="7C8E481E"/>
    <w:rsid w:val="7D536476"/>
    <w:rsid w:val="7EDE288A"/>
    <w:rsid w:val="7F835A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99"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qFormat/>
    <w:uiPriority w:val="99"/>
    <w:pPr>
      <w:jc w:val="left"/>
    </w:pPr>
  </w:style>
  <w:style w:type="paragraph" w:styleId="3">
    <w:name w:val="Balloon Text"/>
    <w:basedOn w:val="1"/>
    <w:link w:val="12"/>
    <w:qFormat/>
    <w:uiPriority w:val="0"/>
    <w:rPr>
      <w:sz w:val="18"/>
      <w:szCs w:val="18"/>
    </w:rPr>
  </w:style>
  <w:style w:type="paragraph" w:styleId="4">
    <w:name w:val="footer"/>
    <w:basedOn w:val="1"/>
    <w:qFormat/>
    <w:uiPriority w:val="99"/>
    <w:pPr>
      <w:tabs>
        <w:tab w:val="center" w:pos="4153"/>
        <w:tab w:val="right" w:pos="8306"/>
      </w:tabs>
      <w:snapToGrid w:val="0"/>
      <w:jc w:val="left"/>
    </w:pPr>
    <w:rPr>
      <w:kern w:val="0"/>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toc 1"/>
    <w:basedOn w:val="1"/>
    <w:next w:val="1"/>
    <w:semiHidden/>
    <w:qFormat/>
    <w:uiPriority w:val="99"/>
    <w:pPr>
      <w:widowControl/>
      <w:spacing w:after="100" w:line="259" w:lineRule="auto"/>
      <w:jc w:val="left"/>
    </w:pPr>
    <w:rPr>
      <w:rFonts w:ascii="??" w:hAnsi="??" w:cs="??"/>
      <w:kern w:val="0"/>
      <w:sz w:val="22"/>
      <w:szCs w:val="22"/>
    </w:rPr>
  </w:style>
  <w:style w:type="paragraph" w:styleId="7">
    <w:name w:val="Normal (Web)"/>
    <w:basedOn w:val="1"/>
    <w:qFormat/>
    <w:uiPriority w:val="0"/>
    <w:pPr>
      <w:spacing w:beforeAutospacing="1" w:afterAutospacing="1"/>
      <w:jc w:val="left"/>
    </w:pPr>
    <w:rPr>
      <w:rFonts w:cs="Times New Roman"/>
      <w:kern w:val="0"/>
      <w:sz w:val="24"/>
    </w:rPr>
  </w:style>
  <w:style w:type="character" w:styleId="10">
    <w:name w:val="annotation reference"/>
    <w:basedOn w:val="9"/>
    <w:semiHidden/>
    <w:unhideWhenUsed/>
    <w:qFormat/>
    <w:uiPriority w:val="0"/>
    <w:rPr>
      <w:sz w:val="21"/>
      <w:szCs w:val="21"/>
    </w:rPr>
  </w:style>
  <w:style w:type="paragraph" w:customStyle="1" w:styleId="11">
    <w:name w:val="列出段落1"/>
    <w:basedOn w:val="1"/>
    <w:qFormat/>
    <w:uiPriority w:val="99"/>
    <w:pPr>
      <w:ind w:firstLine="420" w:firstLineChars="200"/>
    </w:pPr>
  </w:style>
  <w:style w:type="character" w:customStyle="1" w:styleId="12">
    <w:name w:val="批注框文本 Char"/>
    <w:basedOn w:val="9"/>
    <w:link w:val="3"/>
    <w:qFormat/>
    <w:uiPriority w:val="0"/>
    <w:rPr>
      <w:rFonts w:ascii="Calibri" w:hAnsi="Calibri" w:eastAsia="宋体" w:cs="Calibri"/>
      <w:kern w:val="2"/>
      <w:sz w:val="18"/>
      <w:szCs w:val="18"/>
    </w:rPr>
  </w:style>
  <w:style w:type="character" w:customStyle="1" w:styleId="13">
    <w:name w:val="bjh-strong"/>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5"/>
    <customShpInfo spid="_x0000_s3076"/>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5787</Words>
  <Characters>5951</Characters>
  <Lines>121</Lines>
  <Paragraphs>34</Paragraphs>
  <TotalTime>2</TotalTime>
  <ScaleCrop>false</ScaleCrop>
  <LinksUpToDate>false</LinksUpToDate>
  <CharactersWithSpaces>6125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2021-09-27T10:13:00Z</dcterms:created>
  <dc:creator>连心</dc:creator>
  <cp:lastModifiedBy>HeySeventeen</cp:lastModifiedBy>
  <dcterms:modified xsi:type="dcterms:W3CDTF">2025-03-14T09:43:35Z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1BE0608C49EB4AAE995351E561B586E9</vt:lpwstr>
  </property>
  <property fmtid="{D5CDD505-2E9C-101B-9397-08002B2CF9AE}" pid="4" name="KSOTemplateDocerSaveRecord">
    <vt:lpwstr>eyJoZGlkIjoiMzRlMDUwNmQ0NzA0YTVjMzg1YWNjMTkwMjBjZGQ0ZGQiLCJ1c2VySWQiOiIzMTg3MjAzMzcifQ==</vt:lpwstr>
  </property>
</Properties>
</file>